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twork-architecture-diagram"/>
      <w:r>
        <w:t xml:space="preserve">Network Architecture Diagram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DIAG-NET-01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4.0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9, 2025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 (or upon material architectural change)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David Mehta, CTO; 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Alicia Reyes, Security Engineer (Cloud/AppSec); Tomás Reyes, VP Engineering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Internal — Engineering, Security, GRC; included in HITRUST and SOC 2 evidence packets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document provides a logical view of the MCT production and corporate network architecture. It identifies trust zones, ingress and egress controls, identity boundaries, and the legacy on-premises footprint. It is referenced from POL-001 §3.9 and STD-ENC-01, and supports the HITRUST control narratives for</w:t>
      </w:r>
      <w:r>
        <w:t xml:space="preserve"> </w:t>
      </w:r>
      <w:r>
        <w:rPr>
          <w:rStyle w:val="VerbatimChar"/>
        </w:rPr>
        <w:t xml:space="preserve">09.m</w:t>
      </w:r>
      <w:r>
        <w:t xml:space="preserve">,</w:t>
      </w:r>
      <w:r>
        <w:t xml:space="preserve"> </w:t>
      </w:r>
      <w:r>
        <w:rPr>
          <w:rStyle w:val="VerbatimChar"/>
        </w:rPr>
        <w:t xml:space="preserve">09.n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01.j</w:t>
      </w:r>
      <w:r>
        <w:t xml:space="preserve">. It is intended as a logical reference, not a complete physical or VPC-level diagram; the latter are maintained in the</w:t>
      </w:r>
      <w:r>
        <w:t xml:space="preserve"> </w:t>
      </w:r>
      <w:r>
        <w:rPr>
          <w:rStyle w:val="VerbatimChar"/>
        </w:rPr>
        <w:t xml:space="preserve">infra-diagrams</w:t>
      </w:r>
      <w:r>
        <w:t xml:space="preserve"> </w:t>
      </w:r>
      <w:r>
        <w:t xml:space="preserve">repository (auto-generated weekly from Terraform state and Wiz inventory).</w:t>
      </w:r>
    </w:p>
    <w:p>
      <w:pPr>
        <w:pStyle w:val="Heading2"/>
      </w:pPr>
      <w:bookmarkStart w:id="22" w:name="Xe910ba4b74aa24cdf6db1e4b689b21a0b0fe3f0"/>
      <w:r>
        <w:t xml:space="preserve">2. Logical Diagram</w:t>
      </w:r>
      <w:bookmarkEnd w:id="22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classDef internet fill:#e8e8e8,stroke:#666,color:#000</w:t>
      </w:r>
      <w:r>
        <w:br/>
      </w:r>
      <w:r>
        <w:rPr>
          <w:rStyle w:val="VerbatimChar"/>
        </w:rPr>
        <w:t xml:space="preserve">    classDef edge fill:#ffe8c4,stroke:#b06c00,color:#000</w:t>
      </w:r>
      <w:r>
        <w:br/>
      </w:r>
      <w:r>
        <w:rPr>
          <w:rStyle w:val="VerbatimChar"/>
        </w:rPr>
        <w:t xml:space="preserve">    classDef app fill:#cfe9ff,stroke:#0a5fae,color:#000</w:t>
      </w:r>
      <w:r>
        <w:br/>
      </w:r>
      <w:r>
        <w:rPr>
          <w:rStyle w:val="VerbatimChar"/>
        </w:rPr>
        <w:t xml:space="preserve">    classDef data fill:#d6f5d6,stroke:#246b24,color:#000</w:t>
      </w:r>
      <w:r>
        <w:br/>
      </w:r>
      <w:r>
        <w:rPr>
          <w:rStyle w:val="VerbatimChar"/>
        </w:rPr>
        <w:t xml:space="preserve">    classDef corp fill:#f5d6f5,stroke:#7a2c7a,color:#000</w:t>
      </w:r>
      <w:r>
        <w:br/>
      </w:r>
      <w:r>
        <w:rPr>
          <w:rStyle w:val="VerbatimChar"/>
        </w:rPr>
        <w:t xml:space="preserve">    classDef legacy fill:#f5cfcf,stroke:#9c2a2a,color:#000</w:t>
      </w:r>
      <w:r>
        <w:br/>
      </w:r>
      <w:r>
        <w:br/>
      </w:r>
      <w:r>
        <w:rPr>
          <w:rStyle w:val="VerbatimChar"/>
        </w:rPr>
        <w:t xml:space="preserve">    Pat[Patient / Clinician users]:::internet</w:t>
      </w:r>
      <w:r>
        <w:br/>
      </w:r>
      <w:r>
        <w:rPr>
          <w:rStyle w:val="VerbatimChar"/>
        </w:rPr>
        <w:t xml:space="preserve">    Cust[Customer admin users]:::internet</w:t>
      </w:r>
      <w:r>
        <w:br/>
      </w:r>
      <w:r>
        <w:rPr>
          <w:rStyle w:val="VerbatimChar"/>
        </w:rPr>
        <w:t xml:space="preserve">    EHR[EHR systems&lt;br/&gt;FHIR R4 / HL7 v2 / Direct Trust]:::internet</w:t>
      </w:r>
      <w:r>
        <w:br/>
      </w:r>
      <w:r>
        <w:br/>
      </w:r>
      <w:r>
        <w:rPr>
          <w:rStyle w:val="VerbatimChar"/>
        </w:rPr>
        <w:t xml:space="preserve">    CF[AWS CloudFront&lt;br/&gt;TLS 1.2+ termination&lt;br/&gt;geo and rate controls]:::edge</w:t>
      </w:r>
      <w:r>
        <w:br/>
      </w:r>
      <w:r>
        <w:rPr>
          <w:rStyle w:val="VerbatimChar"/>
        </w:rPr>
        <w:t xml:space="preserve">    WAF[AWS WAF v2&lt;br/&gt;OWASP CRS + custom rules]:::edge</w:t>
      </w:r>
      <w:r>
        <w:br/>
      </w:r>
      <w:r>
        <w:rPr>
          <w:rStyle w:val="VerbatimChar"/>
        </w:rPr>
        <w:t xml:space="preserve">    ALB[Application Load Balancer&lt;br/&gt;per-environment]:::edge</w:t>
      </w:r>
      <w:r>
        <w:br/>
      </w:r>
      <w:r>
        <w:br/>
      </w:r>
      <w:r>
        <w:rPr>
          <w:rStyle w:val="VerbatimChar"/>
        </w:rPr>
        <w:t xml:space="preserve">    subgraph EKS [Amazon EKS  -  us-east-1 production VPC]</w:t>
      </w:r>
      <w:r>
        <w:br/>
      </w:r>
      <w:r>
        <w:rPr>
          <w:rStyle w:val="VerbatimChar"/>
        </w:rPr>
        <w:t xml:space="preserve">        IC[NGINX ingress controllers&lt;br/&gt;cert-manager  -  ACM private]:::app</w:t>
      </w:r>
      <w:r>
        <w:br/>
      </w:r>
      <w:r>
        <w:rPr>
          <w:rStyle w:val="VerbatimChar"/>
        </w:rPr>
        <w:t xml:space="preserve">        SVC[Microservices&lt;br/&gt;Node.js / Python / Go&lt;br/&gt;envoy mesh - mTLS east-west]:::app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 [Data tier  -  KMS-CMK encrypted]</w:t>
      </w:r>
      <w:r>
        <w:br/>
      </w:r>
      <w:r>
        <w:rPr>
          <w:rStyle w:val="VerbatimChar"/>
        </w:rPr>
        <w:t xml:space="preserve">        AUR[Aurora PostgreSQL&lt;br/&gt;multi-AZ - PITR 35d&lt;br/&gt;cross-region snapshots]:::data</w:t>
      </w:r>
      <w:r>
        <w:br/>
      </w:r>
      <w:r>
        <w:rPr>
          <w:rStyle w:val="VerbatimChar"/>
        </w:rPr>
        <w:t xml:space="preserve">        SNO[Snowflake&lt;br/&gt;per-env accounts&lt;br/&gt;Fivetran ingest from Aurora]:::data</w:t>
      </w:r>
      <w:r>
        <w:br/>
      </w:r>
      <w:r>
        <w:rPr>
          <w:rStyle w:val="VerbatimChar"/>
        </w:rPr>
        <w:t xml:space="preserve">        S3[S3 attachments&lt;br/&gt;versioned - CRR to us-west-2&lt;br/&gt;Glacier transition 365d]:::data</w:t>
      </w:r>
      <w:r>
        <w:br/>
      </w:r>
      <w:r>
        <w:rPr>
          <w:rStyle w:val="VerbatimChar"/>
        </w:rPr>
        <w:t xml:space="preserve">        EC[ElastiCache Redis&lt;br/&gt;AWS-managed key&lt;br/&gt;NO PHI persisted]:::data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DR[us-west-2 warm DR&lt;br/&gt;Aurora cross-region read replica&lt;br/&gt;S3 CRR target&lt;br/&gt;Snowflake replication]:::data</w:t>
      </w:r>
      <w:r>
        <w:br/>
      </w:r>
      <w:r>
        <w:br/>
      </w:r>
      <w:r>
        <w:rPr>
          <w:rStyle w:val="VerbatimChar"/>
        </w:rPr>
        <w:t xml:space="preserve">    subgraph CORP [Corporate access plane]</w:t>
      </w:r>
      <w:r>
        <w:br/>
      </w:r>
      <w:r>
        <w:rPr>
          <w:rStyle w:val="VerbatimChar"/>
        </w:rPr>
        <w:t xml:space="preserve">        Emp[MCT personnel - 30 percent remote]:::corp</w:t>
      </w:r>
      <w:r>
        <w:br/>
      </w:r>
      <w:r>
        <w:rPr>
          <w:rStyle w:val="VerbatimChar"/>
        </w:rPr>
        <w:t xml:space="preserve">        WARP[Cloudflare WARP VPN&lt;br/&gt;device posture - Jamf - Intune]:::corp</w:t>
      </w:r>
      <w:r>
        <w:br/>
      </w:r>
      <w:r>
        <w:rPr>
          <w:rStyle w:val="VerbatimChar"/>
        </w:rPr>
        <w:t xml:space="preserve">        OKTA[Okta IDP - SSO - MFA&lt;br/&gt;FIDO2 mandatory for prod-access]:::corp</w:t>
      </w:r>
      <w:r>
        <w:br/>
      </w:r>
      <w:r>
        <w:rPr>
          <w:rStyle w:val="VerbatimChar"/>
        </w:rPr>
        <w:t xml:space="preserve">        AWSSSO[AWS IAM Identity Center&lt;br/&gt;session-bounded role assumption]:::corp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LEG[Legacy on-prem ETL cluster&lt;br/&gt;Raleigh HQ - decommission Q4 2026&lt;br/&gt;2 long-tenured customers]:::legacy</w:t>
      </w:r>
      <w:r>
        <w:br/>
      </w:r>
      <w:r>
        <w:rPr>
          <w:rStyle w:val="VerbatimChar"/>
        </w:rPr>
        <w:t xml:space="preserve">    SITE[Site-to-site IPsec VPN&lt;br/&gt;Raleigh -&gt; us-east-1 VPC]:::edge</w:t>
      </w:r>
      <w:r>
        <w:br/>
      </w:r>
      <w:r>
        <w:br/>
      </w:r>
      <w:r>
        <w:rPr>
          <w:rStyle w:val="VerbatimChar"/>
        </w:rPr>
        <w:t xml:space="preserve">    Pat --&gt; CF</w:t>
      </w:r>
      <w:r>
        <w:br/>
      </w:r>
      <w:r>
        <w:rPr>
          <w:rStyle w:val="VerbatimChar"/>
        </w:rPr>
        <w:t xml:space="preserve">    Cust --&gt; CF</w:t>
      </w:r>
      <w:r>
        <w:br/>
      </w:r>
      <w:r>
        <w:rPr>
          <w:rStyle w:val="VerbatimChar"/>
        </w:rPr>
        <w:t xml:space="preserve">    EHR --&gt; CF</w:t>
      </w:r>
      <w:r>
        <w:br/>
      </w:r>
      <w:r>
        <w:rPr>
          <w:rStyle w:val="VerbatimChar"/>
        </w:rPr>
        <w:t xml:space="preserve">    CF --&gt; WAF</w:t>
      </w:r>
      <w:r>
        <w:br/>
      </w:r>
      <w:r>
        <w:rPr>
          <w:rStyle w:val="VerbatimChar"/>
        </w:rPr>
        <w:t xml:space="preserve">    WAF --&gt; ALB</w:t>
      </w:r>
      <w:r>
        <w:br/>
      </w:r>
      <w:r>
        <w:rPr>
          <w:rStyle w:val="VerbatimChar"/>
        </w:rPr>
        <w:t xml:space="preserve">    ALB --&gt; IC</w:t>
      </w:r>
      <w:r>
        <w:br/>
      </w:r>
      <w:r>
        <w:rPr>
          <w:rStyle w:val="VerbatimChar"/>
        </w:rPr>
        <w:t xml:space="preserve">    IC --&gt; SVC</w:t>
      </w:r>
      <w:r>
        <w:br/>
      </w:r>
      <w:r>
        <w:rPr>
          <w:rStyle w:val="VerbatimChar"/>
        </w:rPr>
        <w:t xml:space="preserve">    SVC --&gt; AUR</w:t>
      </w:r>
      <w:r>
        <w:br/>
      </w:r>
      <w:r>
        <w:rPr>
          <w:rStyle w:val="VerbatimChar"/>
        </w:rPr>
        <w:t xml:space="preserve">    SVC --&gt; S3</w:t>
      </w:r>
      <w:r>
        <w:br/>
      </w:r>
      <w:r>
        <w:rPr>
          <w:rStyle w:val="VerbatimChar"/>
        </w:rPr>
        <w:t xml:space="preserve">    SVC --&gt; EC</w:t>
      </w:r>
      <w:r>
        <w:br/>
      </w:r>
      <w:r>
        <w:rPr>
          <w:rStyle w:val="VerbatimChar"/>
        </w:rPr>
        <w:t xml:space="preserve">    AUR --&gt; SNO</w:t>
      </w:r>
      <w:r>
        <w:br/>
      </w:r>
      <w:r>
        <w:rPr>
          <w:rStyle w:val="VerbatimChar"/>
        </w:rPr>
        <w:t xml:space="preserve">    AUR -.cross-region replica.-&gt; DR</w:t>
      </w:r>
      <w:r>
        <w:br/>
      </w:r>
      <w:r>
        <w:rPr>
          <w:rStyle w:val="VerbatimChar"/>
        </w:rPr>
        <w:t xml:space="preserve">    S3 -.CRR.-&gt; DR</w:t>
      </w:r>
      <w:r>
        <w:br/>
      </w:r>
      <w:r>
        <w:rPr>
          <w:rStyle w:val="VerbatimChar"/>
        </w:rPr>
        <w:t xml:space="preserve">    SNO -.replication.-&gt; DR</w:t>
      </w:r>
      <w:r>
        <w:br/>
      </w:r>
      <w:r>
        <w:br/>
      </w:r>
      <w:r>
        <w:rPr>
          <w:rStyle w:val="VerbatimChar"/>
        </w:rPr>
        <w:t xml:space="preserve">    Emp --&gt; WARP</w:t>
      </w:r>
      <w:r>
        <w:br/>
      </w:r>
      <w:r>
        <w:rPr>
          <w:rStyle w:val="VerbatimChar"/>
        </w:rPr>
        <w:t xml:space="preserve">    WARP --&gt; OKTA</w:t>
      </w:r>
      <w:r>
        <w:br/>
      </w:r>
      <w:r>
        <w:rPr>
          <w:rStyle w:val="VerbatimChar"/>
        </w:rPr>
        <w:t xml:space="preserve">    OKTA --&gt; AWSSSO</w:t>
      </w:r>
      <w:r>
        <w:br/>
      </w:r>
      <w:r>
        <w:rPr>
          <w:rStyle w:val="VerbatimChar"/>
        </w:rPr>
        <w:t xml:space="preserve">    AWSSSO --&gt; SVC</w:t>
      </w:r>
      <w:r>
        <w:br/>
      </w:r>
      <w:r>
        <w:rPr>
          <w:rStyle w:val="VerbatimChar"/>
        </w:rPr>
        <w:t xml:space="preserve">    AWSSSO --&gt; AUR</w:t>
      </w:r>
      <w:r>
        <w:br/>
      </w:r>
      <w:r>
        <w:rPr>
          <w:rStyle w:val="VerbatimChar"/>
        </w:rPr>
        <w:t xml:space="preserve">    AWSSSO --&gt; SNO</w:t>
      </w:r>
      <w:r>
        <w:br/>
      </w:r>
      <w:r>
        <w:br/>
      </w:r>
      <w:r>
        <w:rPr>
          <w:rStyle w:val="VerbatimChar"/>
        </w:rPr>
        <w:t xml:space="preserve">    LEG --&gt; SITE</w:t>
      </w:r>
      <w:r>
        <w:br/>
      </w:r>
      <w:r>
        <w:rPr>
          <w:rStyle w:val="VerbatimChar"/>
        </w:rPr>
        <w:t xml:space="preserve">    SITE --&gt; AUR</w:t>
      </w:r>
    </w:p>
    <w:p>
      <w:pPr>
        <w:pStyle w:val="Heading2"/>
      </w:pPr>
      <w:bookmarkStart w:id="23" w:name="X7f070ae877116f4d709269cc3f5c6be0a27b967"/>
      <w:r>
        <w:t xml:space="preserve">3. Trust Zones</w:t>
      </w:r>
      <w:bookmarkEnd w:id="23"/>
    </w:p>
    <w:p>
      <w:pPr>
        <w:pStyle w:val="FirstParagraph"/>
      </w:pPr>
      <w:r>
        <w:t xml:space="preserve">MCT recognizes five logical trust zones. The intent is that all traffic crossing a trust-zone boundary be authenticated, authorized, encrypted, and logged.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Boundary controls into the zone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Z0 — Public Internet</w:t>
            </w:r>
          </w:p>
        </w:tc>
        <w:tc>
          <w:p>
            <w:pPr>
              <w:pStyle w:val="Compact"/>
              <w:jc w:val="left"/>
            </w:pPr>
            <w:r>
              <w:t xml:space="preserve">Anything not under MCT control.</w:t>
            </w:r>
          </w:p>
        </w:tc>
        <w:tc>
          <w:p>
            <w:pPr>
              <w:pStyle w:val="Compact"/>
              <w:jc w:val="left"/>
            </w:pPr>
            <w:r>
              <w:t xml:space="preserve">Patient devices, customer admin browsers, customer EHR endpoints, public DNS.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Z1 — Edge</w:t>
            </w:r>
          </w:p>
        </w:tc>
        <w:tc>
          <w:p>
            <w:pPr>
              <w:pStyle w:val="Compact"/>
              <w:jc w:val="left"/>
            </w:pPr>
            <w:r>
              <w:t xml:space="preserve">MCT's externally addressable surface.</w:t>
            </w:r>
          </w:p>
        </w:tc>
        <w:tc>
          <w:p>
            <w:pPr>
              <w:pStyle w:val="Compact"/>
              <w:jc w:val="left"/>
            </w:pPr>
            <w:r>
              <w:t xml:space="preserve">CloudFront, WAF v2, ALB, ACM public certificates.</w:t>
            </w:r>
          </w:p>
        </w:tc>
        <w:tc>
          <w:p>
            <w:pPr>
              <w:pStyle w:val="Compact"/>
              <w:jc w:val="left"/>
            </w:pPr>
            <w:r>
              <w:t xml:space="preserve">TLS 1.2+, WAF rule set, geo and rate controls, AWS Shield Standard.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Z2 — Application</w:t>
            </w:r>
          </w:p>
        </w:tc>
        <w:tc>
          <w:p>
            <w:pPr>
              <w:pStyle w:val="Compact"/>
              <w:jc w:val="left"/>
            </w:pPr>
            <w:r>
              <w:t xml:space="preserve">EKS workloads in production VPC.</w:t>
            </w:r>
          </w:p>
        </w:tc>
        <w:tc>
          <w:p>
            <w:pPr>
              <w:pStyle w:val="Compact"/>
              <w:jc w:val="left"/>
            </w:pPr>
            <w:r>
              <w:t xml:space="preserve">Ingress controllers, microservices, envoy mesh.</w:t>
            </w:r>
          </w:p>
        </w:tc>
        <w:tc>
          <w:p>
            <w:pPr>
              <w:pStyle w:val="Compact"/>
              <w:jc w:val="left"/>
            </w:pPr>
            <w:r>
              <w:t xml:space="preserve">mTLS east-west service mesh; pod-to-pod NetworkPolicies; SPIFFE identities; egress through controlled NAT.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Z3 — Data</w:t>
            </w:r>
          </w:p>
        </w:tc>
        <w:tc>
          <w:p>
            <w:pPr>
              <w:pStyle w:val="Compact"/>
              <w:jc w:val="left"/>
            </w:pPr>
            <w:r>
              <w:t xml:space="preserve">Stateful systems holding PHI or PHI-derived data.</w:t>
            </w:r>
          </w:p>
        </w:tc>
        <w:tc>
          <w:p>
            <w:pPr>
              <w:pStyle w:val="Compact"/>
              <w:jc w:val="left"/>
            </w:pPr>
            <w:r>
              <w:t xml:space="preserve">Aurora, Snowflake, S3 attachment buckets, ElastiCache (no PHI).</w:t>
            </w:r>
          </w:p>
        </w:tc>
        <w:tc>
          <w:p>
            <w:pPr>
              <w:pStyle w:val="Compact"/>
              <w:jc w:val="left"/>
            </w:pPr>
            <w:r>
              <w:t xml:space="preserve">KMS-CMK at rest; private endpoints / VPC interface endpoints; IAM with least-privilege; query-level audit logging (Aurora pgAudit, Snowflake access history, S3 server-access + CloudTrail data events).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Z4 — Corporate</w:t>
            </w:r>
          </w:p>
        </w:tc>
        <w:tc>
          <w:p>
            <w:pPr>
              <w:pStyle w:val="Compact"/>
              <w:jc w:val="left"/>
            </w:pPr>
            <w:r>
              <w:t xml:space="preserve">Workforce identity, devices, and SaaS.</w:t>
            </w:r>
          </w:p>
        </w:tc>
        <w:tc>
          <w:p>
            <w:pPr>
              <w:pStyle w:val="Compact"/>
              <w:jc w:val="left"/>
            </w:pPr>
            <w:r>
              <w:t xml:space="preserve">Okta, Microsoft 365, Workday, Slack, Datadog, GitHub.</w:t>
            </w:r>
          </w:p>
        </w:tc>
        <w:tc>
          <w:p>
            <w:pPr>
              <w:pStyle w:val="Compact"/>
              <w:jc w:val="left"/>
            </w:pPr>
            <w:r>
              <w:t xml:space="preserve">SSO via Okta with FIDO2 enforcement for production-access roles; device-posture checks (Jamf / Intune compliance); conditional access.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Z5 — Legacy</w:t>
            </w:r>
          </w:p>
        </w:tc>
        <w:tc>
          <w:p>
            <w:pPr>
              <w:pStyle w:val="Compact"/>
              <w:jc w:val="left"/>
            </w:pPr>
            <w:r>
              <w:t xml:space="preserve">The Raleigh on-premises ETL cluster supporting two long-tenured EHR integrations.</w:t>
            </w:r>
          </w:p>
        </w:tc>
        <w:tc>
          <w:p>
            <w:pPr>
              <w:pStyle w:val="Compact"/>
              <w:jc w:val="left"/>
            </w:pPr>
            <w:r>
              <w:t xml:space="preserve">The legacy cluster itself.</w:t>
            </w:r>
          </w:p>
        </w:tc>
        <w:tc>
          <w:p>
            <w:pPr>
              <w:pStyle w:val="Compact"/>
              <w:jc w:val="left"/>
            </w:pPr>
            <w:r>
              <w:t xml:space="preserve">Site-to-site IPsec VPN to a private subnet pair in us-east-1; explicit-allow-only ingress; egress only to defined Aurora endpoints; Wiz agent recently deployed (Q4 2025).</w:t>
            </w:r>
          </w:p>
        </w:tc>
      </w:tr>
    </w:tbl>
    <w:p>
      <w:pPr>
        <w:pStyle w:val="Heading3"/>
      </w:pPr>
      <w:bookmarkStart w:id="24" w:name="X9f6114fc916636c33154bae008945c148c15624"/>
      <w:r>
        <w:t xml:space="preserve">3.1 Honest acknowledgement — Z5 partial exception</w:t>
      </w:r>
      <w:bookmarkEnd w:id="24"/>
    </w:p>
    <w:p>
      <w:pPr>
        <w:pStyle w:val="FirstParagraph"/>
      </w:pPr>
      <w:r>
        <w:t xml:space="preserve">Z5 is a known control gap acknowledged in POL-001 §3.9 and tracked as part of the FY26 strategy theme to decommission the legacy ETL cluster by Q4 2026. The cluster is excluded from full asset-inventory automation; patching is manual; and host-based detection coverage was extended to Wiz agent only in late 2025. Compensating controls are documented in CRA-LegacyETL-2025 (network segmentation, IPsec encryption, restricted egress, access via a single bastion path).</w:t>
      </w:r>
    </w:p>
    <w:p>
      <w:pPr>
        <w:pStyle w:val="Heading2"/>
      </w:pPr>
      <w:bookmarkStart w:id="25" w:name="X2b05e1c941ec22b8e0c54f063a70b87eee5d4c2"/>
      <w:r>
        <w:t xml:space="preserve">4. Ingress Controls</w:t>
      </w:r>
      <w:bookmarkEnd w:id="25"/>
    </w:p>
    <w:p>
      <w:pPr>
        <w:pStyle w:val="Heading3"/>
      </w:pPr>
      <w:bookmarkStart w:id="26" w:name="X8727b43ff1844d76b86d1032d8a971f93415720"/>
      <w:r>
        <w:t xml:space="preserve">4.1 Customer-facing ingress (Patient, Clinician, Customer admin → MeridianCare)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DNS resolution to CloudFront edge (geo-fenced where customer contracts permit).</w:t>
      </w:r>
    </w:p>
    <w:p>
      <w:pPr>
        <w:numPr>
          <w:ilvl w:val="0"/>
          <w:numId w:val="1001"/>
        </w:numPr>
        <w:pStyle w:val="Compact"/>
      </w:pPr>
      <w:r>
        <w:t xml:space="preserve">TLS 1.2+ termination at CloudFront. ECDSA certificates issued via AWS Certificate Manager with public ACM CA. HSTS enforced with 12-month max-age and preload.</w:t>
      </w:r>
    </w:p>
    <w:p>
      <w:pPr>
        <w:numPr>
          <w:ilvl w:val="0"/>
          <w:numId w:val="1001"/>
        </w:numPr>
        <w:pStyle w:val="Compact"/>
      </w:pPr>
      <w:r>
        <w:t xml:space="preserve">AWS WAF v2 with the AWS Managed Rules Common Rule Set, the SQLi rule set, the Bot Control managed rule set (low-sensitivity for customer admin paths, higher-sensitivity for unauthenticated paths), and three custom MCT rules covering: (a) FHIR endpoint anomaly patterns, (b) high-volume read-only enumeration, (c) known-bad ASN list maintained by Arctic Wolf.</w:t>
      </w:r>
    </w:p>
    <w:p>
      <w:pPr>
        <w:numPr>
          <w:ilvl w:val="0"/>
          <w:numId w:val="1001"/>
        </w:numPr>
        <w:pStyle w:val="Compact"/>
      </w:pPr>
      <w:r>
        <w:t xml:space="preserve">AWS Shield Standard. Shield Advanced is approved in the FY26 budget and pending Q2 2026 procurement.</w:t>
      </w:r>
    </w:p>
    <w:p>
      <w:pPr>
        <w:numPr>
          <w:ilvl w:val="0"/>
          <w:numId w:val="1001"/>
        </w:numPr>
        <w:pStyle w:val="Compact"/>
      </w:pPr>
      <w:r>
        <w:t xml:space="preserve">ALB performs second TLS termination into the VPC; ALB is target-group restricted to ingress controllers in EKS; cross-zone load balancing enabled.</w:t>
      </w:r>
    </w:p>
    <w:p>
      <w:pPr>
        <w:numPr>
          <w:ilvl w:val="0"/>
          <w:numId w:val="1001"/>
        </w:numPr>
        <w:pStyle w:val="Compact"/>
      </w:pPr>
      <w:r>
        <w:t xml:space="preserve">NGINX ingress controllers in EKS terminate the third TLS hop using cert-manager-issued certificates from a private ACM PCA. They route to namespaced Services within the cluster.</w:t>
      </w:r>
    </w:p>
    <w:p>
      <w:pPr>
        <w:numPr>
          <w:ilvl w:val="0"/>
          <w:numId w:val="1001"/>
        </w:numPr>
        <w:pStyle w:val="Compact"/>
      </w:pPr>
      <w:r>
        <w:t xml:space="preserve">envoy sidecars enforce mTLS for east-west traffic between services where supported. Authorization is enforced via service-mesh policies sourced from SPIFFE identities.</w:t>
      </w:r>
    </w:p>
    <w:p>
      <w:pPr>
        <w:pStyle w:val="Heading3"/>
      </w:pPr>
      <w:bookmarkStart w:id="27" w:name="X78f799e89042a144c64b6b6455c0594ee493332"/>
      <w:r>
        <w:t xml:space="preserve">4.2 EHR ingress (Direct Trust, FHIR R4, HL7 v2 from customers' EHRs)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Direct Trust messaging arrives at a dedicated ingestion service via an inbound DirectTrust HISP path (TLS + S/MIME). Path certificates are pinned.</w:t>
      </w:r>
    </w:p>
    <w:p>
      <w:pPr>
        <w:numPr>
          <w:ilvl w:val="0"/>
          <w:numId w:val="1002"/>
        </w:numPr>
        <w:pStyle w:val="Compact"/>
      </w:pPr>
      <w:r>
        <w:t xml:space="preserve">FHIR R4 endpoints sit behind the same CloudFront / WAF / ALB chain as the customer-facing app, but on dedicated paths with stricter rate limits and per-customer mTLS where contractually agreed.</w:t>
      </w:r>
    </w:p>
    <w:p>
      <w:pPr>
        <w:numPr>
          <w:ilvl w:val="0"/>
          <w:numId w:val="1002"/>
        </w:numPr>
        <w:pStyle w:val="Compact"/>
      </w:pPr>
      <w:r>
        <w:t xml:space="preserve">HL7 v2 feeds use AWS PrivateLink / VPN endpoints negotiated per customer; legacy v2 connections via the Raleigh on-prem cluster (Z5) are documented in §3.1.</w:t>
      </w:r>
    </w:p>
    <w:p>
      <w:pPr>
        <w:numPr>
          <w:ilvl w:val="0"/>
          <w:numId w:val="1002"/>
        </w:numPr>
        <w:pStyle w:val="Compact"/>
      </w:pPr>
      <w:r>
        <w:t xml:space="preserve">All inbound clinical messages are persisted with sender/receiver metadata in Aurora; the message payload is parsed and stored encrypted, with the raw envelope retained for audit purposes.</w:t>
      </w:r>
    </w:p>
    <w:p>
      <w:pPr>
        <w:pStyle w:val="Heading3"/>
      </w:pPr>
      <w:bookmarkStart w:id="28" w:name="X5bc1d79572e11bbfe4140d7a2f1b0cc4db84964"/>
      <w:r>
        <w:t xml:space="preserve">4.3 Workforce ingress (MCT employees → corporate and production)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All workforce traffic to MCT systems traverses Cloudflare WARP. Device posture (Jamf for macOS, Intune for Windows) is checked at every connection.</w:t>
      </w:r>
    </w:p>
    <w:p>
      <w:pPr>
        <w:numPr>
          <w:ilvl w:val="0"/>
          <w:numId w:val="1003"/>
        </w:numPr>
        <w:pStyle w:val="Compact"/>
      </w:pPr>
      <w:r>
        <w:t xml:space="preserve">Authentication via Okta. MFA is enforced; FIDO2/WebAuthn is mandatory for all production-access roles, security personnel, and engineers (full enforcement Q4 2025).</w:t>
      </w:r>
    </w:p>
    <w:p>
      <w:pPr>
        <w:numPr>
          <w:ilvl w:val="0"/>
          <w:numId w:val="1003"/>
        </w:numPr>
        <w:pStyle w:val="Compact"/>
      </w:pPr>
      <w:r>
        <w:t xml:space="preserve">AWS access via IAM Identity Center; engineers and admins assume short-lived (1- to 4-hour) roles. No long-lived AWS access keys exist for human accounts; audited quarterly.</w:t>
      </w:r>
    </w:p>
    <w:p>
      <w:pPr>
        <w:numPr>
          <w:ilvl w:val="0"/>
          <w:numId w:val="1003"/>
        </w:numPr>
        <w:pStyle w:val="Compact"/>
      </w:pPr>
      <w:r>
        <w:t xml:space="preserve">Production access additionally requires Okta-enforced step-up for sensitive role assumptions (e.g.,</w:t>
      </w:r>
      <w:r>
        <w:t xml:space="preserve"> </w:t>
      </w:r>
      <w:r>
        <w:rPr>
          <w:rStyle w:val="VerbatimChar"/>
        </w:rPr>
        <w:t xml:space="preserve">prod-admin</w:t>
      </w:r>
      <w:r>
        <w:t xml:space="preserve">).</w:t>
      </w:r>
    </w:p>
    <w:p>
      <w:pPr>
        <w:pStyle w:val="Heading2"/>
      </w:pPr>
      <w:bookmarkStart w:id="29" w:name="Xb34aa60a0111daa59bf8c6eb1119504fe06519c"/>
      <w:r>
        <w:t xml:space="preserve">5. Egress Controls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Egress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EKS workloads</w:t>
            </w:r>
          </w:p>
        </w:tc>
        <w:tc>
          <w:p>
            <w:pPr>
              <w:pStyle w:val="Compact"/>
              <w:jc w:val="left"/>
            </w:pPr>
            <w:r>
              <w:t xml:space="preserve">NAT Gateway per AZ → public internet</w:t>
            </w:r>
          </w:p>
        </w:tc>
        <w:tc>
          <w:p>
            <w:pPr>
              <w:pStyle w:val="Compact"/>
              <w:jc w:val="left"/>
            </w:pPr>
            <w:r>
              <w:t xml:space="preserve">Egress allowlist enforced at Cilium NetworkPolicy and at a dedicated egress proxy (used for outbound HTTP from services that must reach external APIs). All egress logged to Datadog.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Aurora / Snowflake / S3</w:t>
            </w:r>
          </w:p>
        </w:tc>
        <w:tc>
          <w:p>
            <w:pPr>
              <w:pStyle w:val="Compact"/>
              <w:jc w:val="left"/>
            </w:pPr>
            <w:r>
              <w:t xml:space="preserve">VPC endpoints (interface / gateway)</w:t>
            </w:r>
          </w:p>
        </w:tc>
        <w:tc>
          <w:p>
            <w:pPr>
              <w:pStyle w:val="Compact"/>
              <w:jc w:val="left"/>
            </w:pPr>
            <w:r>
              <w:t xml:space="preserve">Direct-to-AWS-service traffic does not traverse the public internet.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Corporate endpoints</w:t>
            </w:r>
          </w:p>
        </w:tc>
        <w:tc>
          <w:p>
            <w:pPr>
              <w:pStyle w:val="Compact"/>
              <w:jc w:val="left"/>
            </w:pPr>
            <w:r>
              <w:t xml:space="preserve">Cloudflare WARP</w:t>
            </w:r>
          </w:p>
        </w:tc>
        <w:tc>
          <w:p>
            <w:pPr>
              <w:pStyle w:val="Compact"/>
              <w:jc w:val="left"/>
            </w:pPr>
            <w:r>
              <w:t xml:space="preserve">DNS filtering (Cloudflare Gateway), category controls, DLP egress inspection (Microsoft Purview pilot).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ETL (Z5)</w:t>
            </w:r>
          </w:p>
        </w:tc>
        <w:tc>
          <w:p>
            <w:pPr>
              <w:pStyle w:val="Compact"/>
              <w:jc w:val="left"/>
            </w:pPr>
            <w:r>
              <w:t xml:space="preserve">Site-to-site IPsec → private VPC subnets</w:t>
            </w:r>
          </w:p>
        </w:tc>
        <w:tc>
          <w:p>
            <w:pPr>
              <w:pStyle w:val="Compact"/>
              <w:jc w:val="left"/>
            </w:pPr>
            <w:r>
              <w:t xml:space="preserve">Outbound IP allowlist; only Aurora endpoints reachable; Wiz agent reports egress flow.</w:t>
            </w:r>
          </w:p>
        </w:tc>
      </w:tr>
    </w:tbl>
    <w:p>
      <w:pPr>
        <w:pStyle w:val="Heading2"/>
      </w:pPr>
      <w:bookmarkStart w:id="30" w:name="X2f03a435c9e8a740a848e07b8338f600ce891da"/>
      <w:r>
        <w:t xml:space="preserve">6. Logging and Monitoring</w:t>
      </w:r>
      <w:bookmarkEnd w:id="30"/>
    </w:p>
    <w:p>
      <w:pPr>
        <w:pStyle w:val="FirstParagraph"/>
      </w:pPr>
      <w:r>
        <w:t xml:space="preserve">All ingress and egress events are logged. Specifically:</w:t>
      </w:r>
    </w:p>
    <w:p>
      <w:pPr>
        <w:numPr>
          <w:ilvl w:val="0"/>
          <w:numId w:val="1004"/>
        </w:numPr>
        <w:pStyle w:val="Compact"/>
      </w:pPr>
      <w:r>
        <w:t xml:space="preserve">CloudFront and WAF logs delivered to S3 and ingested into Datadog.</w:t>
      </w:r>
    </w:p>
    <w:p>
      <w:pPr>
        <w:numPr>
          <w:ilvl w:val="0"/>
          <w:numId w:val="1004"/>
        </w:numPr>
        <w:pStyle w:val="Compact"/>
      </w:pPr>
      <w:r>
        <w:t xml:space="preserve">VPC Flow Logs at the production VPC, retained 90 days hot and 7 years cold.</w:t>
      </w:r>
    </w:p>
    <w:p>
      <w:pPr>
        <w:numPr>
          <w:ilvl w:val="0"/>
          <w:numId w:val="1004"/>
        </w:numPr>
        <w:pStyle w:val="Compact"/>
      </w:pPr>
      <w:r>
        <w:t xml:space="preserve">ALB access logs in S3.</w:t>
      </w:r>
    </w:p>
    <w:p>
      <w:pPr>
        <w:numPr>
          <w:ilvl w:val="0"/>
          <w:numId w:val="1004"/>
        </w:numPr>
        <w:pStyle w:val="Compact"/>
      </w:pPr>
      <w:r>
        <w:t xml:space="preserve">Aurora pgAudit, Snowflake access history, S3 server access + CloudTrail data events.</w:t>
      </w:r>
    </w:p>
    <w:p>
      <w:pPr>
        <w:numPr>
          <w:ilvl w:val="0"/>
          <w:numId w:val="1004"/>
        </w:numPr>
        <w:pStyle w:val="Compact"/>
      </w:pPr>
      <w:r>
        <w:t xml:space="preserve">Okta system log streamed to Datadog.</w:t>
      </w:r>
    </w:p>
    <w:p>
      <w:pPr>
        <w:numPr>
          <w:ilvl w:val="0"/>
          <w:numId w:val="1004"/>
        </w:numPr>
        <w:pStyle w:val="Compact"/>
      </w:pPr>
      <w:r>
        <w:t xml:space="preserve">envoy mesh access logs in Datadog.</w:t>
      </w:r>
    </w:p>
    <w:p>
      <w:pPr>
        <w:pStyle w:val="FirstParagraph"/>
      </w:pPr>
      <w:r>
        <w:t xml:space="preserve">Datadog Cloud SIEM is the primary alerting surface; Arctic Wolf operates 24x7 escalation. Alert tuning remains an active area of investment (cyber risk register entry R3 — alert-tuning debt; not all detections are at production-grade fidelity).</w:t>
      </w:r>
    </w:p>
    <w:p>
      <w:pPr>
        <w:pStyle w:val="Heading2"/>
      </w:pPr>
      <w:bookmarkStart w:id="31" w:name="Xd9a4f6588c213860655d05ff54adb43f5dccff9"/>
      <w:r>
        <w:t xml:space="preserve">7. Related Documents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POL-001 Information Security Policy (§3.9)</w:t>
      </w:r>
    </w:p>
    <w:p>
      <w:pPr>
        <w:numPr>
          <w:ilvl w:val="0"/>
          <w:numId w:val="1005"/>
        </w:numPr>
        <w:pStyle w:val="Compact"/>
      </w:pPr>
      <w:r>
        <w:t xml:space="preserve">STD-ENC-01 Encryption Standard</w:t>
      </w:r>
    </w:p>
    <w:p>
      <w:pPr>
        <w:numPr>
          <w:ilvl w:val="0"/>
          <w:numId w:val="1005"/>
        </w:numPr>
        <w:pStyle w:val="Compact"/>
      </w:pPr>
      <w:r>
        <w:t xml:space="preserve">DIAG-PHI-Data-Flow (PHI-specific data flows)</w:t>
      </w:r>
    </w:p>
    <w:p>
      <w:pPr>
        <w:numPr>
          <w:ilvl w:val="0"/>
          <w:numId w:val="1005"/>
        </w:numPr>
        <w:pStyle w:val="Compact"/>
      </w:pPr>
      <w:r>
        <w:t xml:space="preserve">CRA-LegacyETL-2025 Compensating Controls — Legacy ETL</w:t>
      </w:r>
    </w:p>
    <w:p>
      <w:pPr>
        <w:numPr>
          <w:ilvl w:val="0"/>
          <w:numId w:val="1005"/>
        </w:numPr>
        <w:pStyle w:val="Compact"/>
      </w:pPr>
      <w:r>
        <w:t xml:space="preserve">POL-BCP-01 Business Continuity Policy</w:t>
      </w:r>
    </w:p>
    <w:p>
      <w:pPr>
        <w:pStyle w:val="Heading2"/>
      </w:pPr>
      <w:bookmarkStart w:id="32" w:name="X5869244096db95521a75b6c575e03a0935126aa"/>
      <w:r>
        <w:t xml:space="preserve">8. Document Control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2022-09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Initial logical diagram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2024-02</w:t>
            </w:r>
          </w:p>
        </w:tc>
        <w:tc>
          <w:p>
            <w:pPr>
              <w:pStyle w:val="Compact"/>
              <w:jc w:val="left"/>
            </w:pPr>
            <w:r>
              <w:t xml:space="preserve">A. Reyes, S. Yoon</w:t>
            </w:r>
          </w:p>
        </w:tc>
        <w:tc>
          <w:p>
            <w:pPr>
              <w:pStyle w:val="Compact"/>
              <w:jc w:val="left"/>
            </w:pPr>
            <w:r>
              <w:t xml:space="preserve">Added envoy mesh; introduced trust-zone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2025-04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Added Z5 (legacy ETL) compensating controls; updated egress 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Refresh for FIDO2 enforcement, Cilium NetworkPolicy adoption, FHIR-path WAF rules, Wiz agent on Z5; mermaid diagram update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2026-04-30T19:08:42Z</dcterms:created>
  <dcterms:modified xsi:type="dcterms:W3CDTF">2026-04-30T19:08:42Z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