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tection-use-case-catalog"/>
      <w:r>
        <w:t xml:space="preserve">Detection Use Case Catalog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PLAYBOOK-DET-01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3.4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February 1, 2026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January 28, 2026</w:t>
      </w:r>
      <w:r>
        <w:t xml:space="preserve"> </w:t>
      </w:r>
      <w:r>
        <w:rPr>
          <w:b/>
        </w:rPr>
        <w:t xml:space="preserve">Next review:</w:t>
      </w:r>
      <w:r>
        <w:t xml:space="preserve"> </w:t>
      </w:r>
      <w:r>
        <w:t xml:space="preserve">April 2026 (quarterly — detection content is reviewed more frequently than policy)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Sarah Yoon, CISO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Marcus Tan, Security Engineer (Detection &amp; Response)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Information Security; Arctic Wolf MDR (under NDA); platform engineering leads on a need-to-know basis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Playbook catalogs the production and in-development detection use cases operated against MCT log sources in Datadog Cloud SIEM. It implements the continuous monitoring requirements of POL-001 §3.11 and is the primary content artifact backing the Detect (DE) function of the NIST CSF profile.</w:t>
      </w:r>
    </w:p>
    <w:p>
      <w:pPr>
        <w:pStyle w:val="BodyText"/>
      </w:pPr>
      <w:r>
        <w:t xml:space="preserve">This document is content-management oriented: it describes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MCT detects, not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(specific queries and thresholds are maintained as Datadog Sigma-format rules in the</w:t>
      </w:r>
      <w:r>
        <w:t xml:space="preserve"> </w:t>
      </w:r>
      <w:r>
        <w:rPr>
          <w:rStyle w:val="VerbatimChar"/>
        </w:rPr>
        <w:t xml:space="preserve">mct-detection-content</w:t>
      </w:r>
      <w:r>
        <w:t xml:space="preserve"> </w:t>
      </w:r>
      <w:r>
        <w:t xml:space="preserve">repository). It is intended to be read alongside the SIEM Configuration Standard (STD-LOG-01) and the Alert Triage Procedure (PROC-AlertTriage).</w:t>
      </w:r>
    </w:p>
    <w:p>
      <w:pPr>
        <w:pStyle w:val="Heading2"/>
      </w:pPr>
      <w:bookmarkStart w:id="22" w:name="X8459ece448effdf87f373af0fe9ef4796c49d8e"/>
      <w:r>
        <w:t xml:space="preserve">2. Catalog Conventions</w:t>
      </w:r>
      <w:bookmarkEnd w:id="22"/>
    </w:p>
    <w:p>
      <w:pPr>
        <w:pStyle w:val="Heading3"/>
      </w:pPr>
      <w:bookmarkStart w:id="23" w:name="Xb2f4b09a4610a4d93c343a936b0daae52b6a707"/>
      <w:r>
        <w:t xml:space="preserve">2.1 Tuning state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t xml:space="preserve">Rule is enabled, alerting to triage; signal-to-noise is acceptable; ack/triage SLA applies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Tuning</w:t>
            </w:r>
          </w:p>
        </w:tc>
        <w:tc>
          <w:p>
            <w:pPr>
              <w:pStyle w:val="Compact"/>
              <w:jc w:val="left"/>
            </w:pPr>
            <w:r>
              <w:t xml:space="preserve">Rule is enabled but in observation mode or with relaxed paging behavior; analyst feedback is being collected; not yet meeting FP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Rule is identified as needed but not yet built or not yet deployable due to telemetry or coverage gap</w:t>
            </w:r>
          </w:p>
        </w:tc>
      </w:tr>
    </w:tbl>
    <w:p>
      <w:pPr>
        <w:pStyle w:val="Heading3"/>
      </w:pPr>
      <w:bookmarkStart w:id="24" w:name="Xdec14c645ce91b0b44300414880cbb3b05a9408"/>
      <w:r>
        <w:t xml:space="preserve">2.2 Priority tiers (signal severity)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Triage SLA (see PROC-AlertTriage)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Acknowledge within 5 minutes</w:t>
            </w:r>
          </w:p>
        </w:tc>
        <w:tc>
          <w:p>
            <w:pPr>
              <w:pStyle w:val="Compact"/>
              <w:jc w:val="left"/>
            </w:pPr>
            <w:r>
              <w:t xml:space="preserve">Suspected compromise of production identity or PHI access anomaly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Acknowledge within 30 minutes</w:t>
            </w:r>
          </w:p>
        </w:tc>
        <w:tc>
          <w:p>
            <w:pPr>
              <w:pStyle w:val="Compact"/>
              <w:jc w:val="left"/>
            </w:pPr>
            <w:r>
              <w:t xml:space="preserve">Anomalous configuration change; CSPM critical finding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Acknowledge next business day</w:t>
            </w:r>
          </w:p>
        </w:tc>
        <w:tc>
          <w:p>
            <w:pPr>
              <w:pStyle w:val="Compact"/>
              <w:jc w:val="left"/>
            </w:pPr>
            <w:r>
              <w:t xml:space="preserve">Hygiene; informational; trend-only</w:t>
            </w:r>
          </w:p>
        </w:tc>
      </w:tr>
    </w:tbl>
    <w:p>
      <w:pPr>
        <w:pStyle w:val="Heading3"/>
      </w:pPr>
      <w:bookmarkStart w:id="25" w:name="X5557677212c756ab8ce7b68fdbe554edd20bf19"/>
      <w:r>
        <w:t xml:space="preserve">2.3 Sources referenced</w:t>
      </w:r>
      <w:bookmarkEnd w:id="25"/>
    </w:p>
    <w:p>
      <w:pPr>
        <w:pStyle w:val="FirstParagraph"/>
      </w:pPr>
      <w:r>
        <w:t xml:space="preserve">CT = AWS CloudTrail; pgA = Aurora pgAudit; OKT = Okta system log; CS = CrowdStrike Falcon; EKS = EKS audit log; WIZ = Wiz CSPM; SF = Snowflake ACCOUNT_USAGE; ALB = ALB / CloudFront access; M365 = Microsoft 365 audit; GH = GitHub audit; WAF = AWS WAF v2.</w:t>
      </w:r>
    </w:p>
    <w:p>
      <w:pPr>
        <w:pStyle w:val="Heading2"/>
      </w:pPr>
      <w:bookmarkStart w:id="26" w:name="X1d55c045bf2a25ac3497d4ee8a7fe899daf651a"/>
      <w:r>
        <w:t xml:space="preserve">3. Use Cases by ATT&amp;CK Tactic</w:t>
      </w:r>
      <w:bookmarkEnd w:id="26"/>
    </w:p>
    <w:p>
      <w:pPr>
        <w:pStyle w:val="FirstParagraph"/>
      </w:pPr>
      <w:r>
        <w:t xml:space="preserve">The catalog below is the authoritative inventory as of January 28, 2026. Sigma rule IDs are placeholders pointing into</w:t>
      </w:r>
      <w:r>
        <w:t xml:space="preserve"> </w:t>
      </w:r>
      <w:r>
        <w:rPr>
          <w:rStyle w:val="VerbatimChar"/>
        </w:rPr>
        <w:t xml:space="preserve">mct-detection-content</w:t>
      </w:r>
      <w:r>
        <w:t xml:space="preserve">.</w:t>
      </w:r>
    </w:p>
    <w:p>
      <w:pPr>
        <w:pStyle w:val="Heading3"/>
      </w:pPr>
      <w:bookmarkStart w:id="27" w:name="Xd4fa9a9b9ed69ae1049827cfde415b975848825"/>
      <w:r>
        <w:t xml:space="preserve">3.1 Initial Access (TA0001)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IA-01</w:t>
            </w:r>
          </w:p>
        </w:tc>
        <w:tc>
          <w:p>
            <w:pPr>
              <w:pStyle w:val="Compact"/>
              <w:jc w:val="left"/>
            </w:pPr>
            <w:r>
              <w:t xml:space="preserve">Suspicious successful login from unusual geography for workforce user</w:t>
            </w:r>
          </w:p>
        </w:tc>
        <w:tc>
          <w:p>
            <w:pPr>
              <w:pStyle w:val="Compact"/>
              <w:jc w:val="left"/>
            </w:pPr>
            <w:r>
              <w:t xml:space="preserve">T1078.004</w:t>
            </w:r>
          </w:p>
        </w:tc>
        <w:tc>
          <w:p>
            <w:pPr>
              <w:pStyle w:val="Compact"/>
              <w:jc w:val="left"/>
            </w:pPr>
            <w:r>
              <w:t xml:space="preserve">OKT</w:t>
            </w:r>
          </w:p>
        </w:tc>
        <w:tc>
          <w:p>
            <w:pPr>
              <w:pStyle w:val="Compact"/>
              <w:jc w:val="left"/>
            </w:pPr>
            <w:r>
              <w:t xml:space="preserve">mct-det-IA-01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IA-02</w:t>
            </w:r>
          </w:p>
        </w:tc>
        <w:tc>
          <w:p>
            <w:pPr>
              <w:pStyle w:val="Compact"/>
              <w:jc w:val="left"/>
            </w:pPr>
            <w:r>
              <w:t xml:space="preserve">Phishing-resistant MFA bypass attempt (push fatigue / multiple MFA prompts in short window)</w:t>
            </w:r>
          </w:p>
        </w:tc>
        <w:tc>
          <w:p>
            <w:pPr>
              <w:pStyle w:val="Compact"/>
              <w:jc w:val="left"/>
            </w:pPr>
            <w:r>
              <w:t xml:space="preserve">T1621</w:t>
            </w:r>
          </w:p>
        </w:tc>
        <w:tc>
          <w:p>
            <w:pPr>
              <w:pStyle w:val="Compact"/>
              <w:jc w:val="left"/>
            </w:pPr>
            <w:r>
              <w:t xml:space="preserve">OKT</w:t>
            </w:r>
          </w:p>
        </w:tc>
        <w:tc>
          <w:p>
            <w:pPr>
              <w:pStyle w:val="Compact"/>
              <w:jc w:val="left"/>
            </w:pPr>
            <w:r>
              <w:t xml:space="preserve">mct-det-IA-02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IA-03</w:t>
            </w:r>
          </w:p>
        </w:tc>
        <w:tc>
          <w:p>
            <w:pPr>
              <w:pStyle w:val="Compact"/>
              <w:jc w:val="left"/>
            </w:pPr>
            <w:r>
              <w:t xml:space="preserve">First-time login from a new device for a privileged user without prior enrollment</w:t>
            </w:r>
          </w:p>
        </w:tc>
        <w:tc>
          <w:p>
            <w:pPr>
              <w:pStyle w:val="Compact"/>
              <w:jc w:val="left"/>
            </w:pPr>
            <w:r>
              <w:t xml:space="preserve">T1078</w:t>
            </w:r>
          </w:p>
        </w:tc>
        <w:tc>
          <w:p>
            <w:pPr>
              <w:pStyle w:val="Compact"/>
              <w:jc w:val="left"/>
            </w:pPr>
            <w:r>
              <w:t xml:space="preserve">OKT, CS</w:t>
            </w:r>
          </w:p>
        </w:tc>
        <w:tc>
          <w:p>
            <w:pPr>
              <w:pStyle w:val="Compact"/>
              <w:jc w:val="left"/>
            </w:pPr>
            <w:r>
              <w:t xml:space="preserve">mct-det-IA-03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IA-04</w:t>
            </w:r>
          </w:p>
        </w:tc>
        <w:tc>
          <w:p>
            <w:pPr>
              <w:pStyle w:val="Compact"/>
              <w:jc w:val="left"/>
            </w:pPr>
            <w:r>
              <w:t xml:space="preserve">Public-facing application high-rate WAF block followed by authenticated session</w:t>
            </w:r>
          </w:p>
        </w:tc>
        <w:tc>
          <w:p>
            <w:pPr>
              <w:pStyle w:val="Compact"/>
              <w:jc w:val="left"/>
            </w:pPr>
            <w:r>
              <w:t xml:space="preserve">T1190</w:t>
            </w:r>
          </w:p>
        </w:tc>
        <w:tc>
          <w:p>
            <w:pPr>
              <w:pStyle w:val="Compact"/>
              <w:jc w:val="left"/>
            </w:pPr>
            <w:r>
              <w:t xml:space="preserve">WAF, ALB, OKT</w:t>
            </w:r>
          </w:p>
        </w:tc>
        <w:tc>
          <w:p>
            <w:pPr>
              <w:pStyle w:val="Compact"/>
              <w:jc w:val="left"/>
            </w:pPr>
            <w:r>
              <w:t xml:space="preserve">mct-det-IA-04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Tuning — high FP rate from synthetic monitoring traffic; under tuning sprint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IA-05</w:t>
            </w:r>
          </w:p>
        </w:tc>
        <w:tc>
          <w:p>
            <w:pPr>
              <w:pStyle w:val="Compact"/>
              <w:jc w:val="left"/>
            </w:pPr>
            <w:r>
              <w:t xml:space="preserve">Successful authentication immediately following bulk password spray pattern</w:t>
            </w:r>
          </w:p>
        </w:tc>
        <w:tc>
          <w:p>
            <w:pPr>
              <w:pStyle w:val="Compact"/>
              <w:jc w:val="left"/>
            </w:pPr>
            <w:r>
              <w:t xml:space="preserve">T1110.003</w:t>
            </w:r>
          </w:p>
        </w:tc>
        <w:tc>
          <w:p>
            <w:pPr>
              <w:pStyle w:val="Compact"/>
              <w:jc w:val="left"/>
            </w:pPr>
            <w:r>
              <w:t xml:space="preserve">OKT, ALB</w:t>
            </w:r>
          </w:p>
        </w:tc>
        <w:tc>
          <w:p>
            <w:pPr>
              <w:pStyle w:val="Compact"/>
              <w:jc w:val="left"/>
            </w:pPr>
            <w:r>
              <w:t xml:space="preserve">mct-det-IA-05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Heading3"/>
      </w:pPr>
      <w:bookmarkStart w:id="28" w:name="X56ce869d246464d87b56bc5460f816989394b13"/>
      <w:r>
        <w:t xml:space="preserve">3.2 Execution (TA0002)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EX-01</w:t>
            </w:r>
          </w:p>
        </w:tc>
        <w:tc>
          <w:p>
            <w:pPr>
              <w:pStyle w:val="Compact"/>
              <w:jc w:val="left"/>
            </w:pPr>
            <w:r>
              <w:t xml:space="preserve">Suspicious process execution on engineering endpoint flagged by Falcon</w:t>
            </w:r>
          </w:p>
        </w:tc>
        <w:tc>
          <w:p>
            <w:pPr>
              <w:pStyle w:val="Compact"/>
              <w:jc w:val="left"/>
            </w:pPr>
            <w:r>
              <w:t xml:space="preserve">T1059</w:t>
            </w:r>
          </w:p>
        </w:tc>
        <w:tc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p>
            <w:pPr>
              <w:pStyle w:val="Compact"/>
              <w:jc w:val="left"/>
            </w:pPr>
            <w:r>
              <w:t xml:space="preserve">mct-det-EX-01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Production (Falcon native + correlation)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EX-02</w:t>
            </w:r>
          </w:p>
        </w:tc>
        <w:tc>
          <w:p>
            <w:pPr>
              <w:pStyle w:val="Compact"/>
              <w:jc w:val="left"/>
            </w:pPr>
            <w:r>
              <w:t xml:space="preserve">Container image executed in EKS that is not in approved registry list</w:t>
            </w:r>
          </w:p>
        </w:tc>
        <w:tc>
          <w:p>
            <w:pPr>
              <w:pStyle w:val="Compact"/>
              <w:jc w:val="left"/>
            </w:pPr>
            <w:r>
              <w:t xml:space="preserve">T1610</w:t>
            </w:r>
          </w:p>
        </w:tc>
        <w:tc>
          <w:p>
            <w:pPr>
              <w:pStyle w:val="Compact"/>
              <w:jc w:val="left"/>
            </w:pPr>
            <w:r>
              <w:t xml:space="preserve">EKS, WIZ</w:t>
            </w:r>
          </w:p>
        </w:tc>
        <w:tc>
          <w:p>
            <w:pPr>
              <w:pStyle w:val="Compact"/>
              <w:jc w:val="left"/>
            </w:pPr>
            <w:r>
              <w:t xml:space="preserve">mct-det-EX-02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EX-03</w:t>
            </w:r>
          </w:p>
        </w:tc>
        <w:tc>
          <w:p>
            <w:pPr>
              <w:pStyle w:val="Compact"/>
              <w:jc w:val="left"/>
            </w:pPr>
            <w:r>
              <w:t xml:space="preserve">Interactive shell on production EKS pod (</w:t>
            </w:r>
            <w:r>
              <w:rPr>
                <w:rStyle w:val="VerbatimChar"/>
              </w:rPr>
              <w:t xml:space="preserve">kubectl exec</w:t>
            </w:r>
            <w:r>
              <w:t xml:space="preserve">) outside change window</w:t>
            </w:r>
          </w:p>
        </w:tc>
        <w:tc>
          <w:p>
            <w:pPr>
              <w:pStyle w:val="Compact"/>
              <w:jc w:val="left"/>
            </w:pPr>
            <w:r>
              <w:t xml:space="preserve">T1059.004</w:t>
            </w:r>
          </w:p>
        </w:tc>
        <w:tc>
          <w:p>
            <w:pPr>
              <w:pStyle w:val="Compact"/>
              <w:jc w:val="left"/>
            </w:pPr>
            <w:r>
              <w:t xml:space="preserve">EKS, CT</w:t>
            </w:r>
          </w:p>
        </w:tc>
        <w:tc>
          <w:p>
            <w:pPr>
              <w:pStyle w:val="Compact"/>
              <w:jc w:val="left"/>
            </w:pPr>
            <w:r>
              <w:t xml:space="preserve">mct-det-EX-03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EX-04</w:t>
            </w:r>
          </w:p>
        </w:tc>
        <w:tc>
          <w:p>
            <w:pPr>
              <w:pStyle w:val="Compact"/>
              <w:jc w:val="left"/>
            </w:pPr>
            <w:r>
              <w:t xml:space="preserve">Snowflake compute spike via newly created warehouse outside ITSM change</w:t>
            </w:r>
          </w:p>
        </w:tc>
        <w:tc>
          <w:p>
            <w:pPr>
              <w:pStyle w:val="Compact"/>
              <w:jc w:val="left"/>
            </w:pPr>
            <w:r>
              <w:t xml:space="preserve">T1059, T1078</w:t>
            </w:r>
          </w:p>
        </w:tc>
        <w:tc>
          <w:p>
            <w:pPr>
              <w:pStyle w:val="Compact"/>
              <w:jc w:val="left"/>
            </w:pPr>
            <w:r>
              <w:t xml:space="preserve">SF, CT</w:t>
            </w:r>
          </w:p>
        </w:tc>
        <w:tc>
          <w:p>
            <w:pPr>
              <w:pStyle w:val="Compact"/>
              <w:jc w:val="left"/>
            </w:pPr>
            <w:r>
              <w:t xml:space="preserve">mct-det-EX-04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Tuning — runbook still draft (R3)</w:t>
            </w:r>
          </w:p>
        </w:tc>
      </w:tr>
    </w:tbl>
    <w:p>
      <w:pPr>
        <w:pStyle w:val="Heading3"/>
      </w:pPr>
      <w:bookmarkStart w:id="29" w:name="Xe663c991153e97d8a88b07efa1b8a12822e006c"/>
      <w:r>
        <w:t xml:space="preserve">3.3 Persistence (TA0003)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PE-01</w:t>
            </w:r>
          </w:p>
        </w:tc>
        <w:tc>
          <w:p>
            <w:pPr>
              <w:pStyle w:val="Compact"/>
              <w:jc w:val="left"/>
            </w:pPr>
            <w:r>
              <w:t xml:space="preserve">New IAM user created with console access in production account</w:t>
            </w:r>
          </w:p>
        </w:tc>
        <w:tc>
          <w:p>
            <w:pPr>
              <w:pStyle w:val="Compact"/>
              <w:jc w:val="left"/>
            </w:pPr>
            <w:r>
              <w:t xml:space="preserve">T1136.001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mct-det-PE-01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PE-02</w:t>
            </w:r>
          </w:p>
        </w:tc>
        <w:tc>
          <w:p>
            <w:pPr>
              <w:pStyle w:val="Compact"/>
              <w:jc w:val="left"/>
            </w:pPr>
            <w:r>
              <w:t xml:space="preserve">Long-lived AWS access key created (production accounts disallow)</w:t>
            </w:r>
          </w:p>
        </w:tc>
        <w:tc>
          <w:p>
            <w:pPr>
              <w:pStyle w:val="Compact"/>
              <w:jc w:val="left"/>
            </w:pPr>
            <w:r>
              <w:t xml:space="preserve">T1098.001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mct-det-PE-02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PE-03</w:t>
            </w:r>
          </w:p>
        </w:tc>
        <w:tc>
          <w:p>
            <w:pPr>
              <w:pStyle w:val="Compact"/>
              <w:jc w:val="left"/>
            </w:pPr>
            <w:r>
              <w:t xml:space="preserve">New OAuth application registration in M365 with broad scope</w:t>
            </w:r>
          </w:p>
        </w:tc>
        <w:tc>
          <w:p>
            <w:pPr>
              <w:pStyle w:val="Compact"/>
              <w:jc w:val="left"/>
            </w:pPr>
            <w:r>
              <w:t xml:space="preserve">T1098.005</w:t>
            </w:r>
          </w:p>
        </w:tc>
        <w:tc>
          <w:p>
            <w:pPr>
              <w:pStyle w:val="Compact"/>
              <w:jc w:val="left"/>
            </w:pPr>
            <w:r>
              <w:t xml:space="preserve">M365</w:t>
            </w:r>
          </w:p>
        </w:tc>
        <w:tc>
          <w:p>
            <w:pPr>
              <w:pStyle w:val="Compact"/>
              <w:jc w:val="left"/>
            </w:pPr>
            <w:r>
              <w:t xml:space="preserve">mct-det-PE-03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PE-04</w:t>
            </w:r>
          </w:p>
        </w:tc>
        <w:tc>
          <w:p>
            <w:pPr>
              <w:pStyle w:val="Compact"/>
              <w:jc w:val="left"/>
            </w:pPr>
            <w:r>
              <w:t xml:space="preserve">Okta admin role assignment outside change window</w:t>
            </w:r>
          </w:p>
        </w:tc>
        <w:tc>
          <w:p>
            <w:pPr>
              <w:pStyle w:val="Compact"/>
              <w:jc w:val="left"/>
            </w:pPr>
            <w:r>
              <w:t xml:space="preserve">T1098</w:t>
            </w:r>
          </w:p>
        </w:tc>
        <w:tc>
          <w:p>
            <w:pPr>
              <w:pStyle w:val="Compact"/>
              <w:jc w:val="left"/>
            </w:pPr>
            <w:r>
              <w:t xml:space="preserve">OKT</w:t>
            </w:r>
          </w:p>
        </w:tc>
        <w:tc>
          <w:p>
            <w:pPr>
              <w:pStyle w:val="Compact"/>
              <w:jc w:val="left"/>
            </w:pPr>
            <w:r>
              <w:t xml:space="preserve">mct-det-PE-04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PE-05</w:t>
            </w:r>
          </w:p>
        </w:tc>
        <w:tc>
          <w:p>
            <w:pPr>
              <w:pStyle w:val="Compact"/>
              <w:jc w:val="left"/>
            </w:pPr>
            <w:r>
              <w:t xml:space="preserve">Scheduled task / cronjob created on legacy ETL host</w:t>
            </w:r>
          </w:p>
        </w:tc>
        <w:tc>
          <w:p>
            <w:pPr>
              <w:pStyle w:val="Compact"/>
              <w:jc w:val="left"/>
            </w:pPr>
            <w:r>
              <w:t xml:space="preserve">T1053</w:t>
            </w:r>
          </w:p>
        </w:tc>
        <w:tc>
          <w:p>
            <w:pPr>
              <w:pStyle w:val="Compact"/>
              <w:jc w:val="left"/>
            </w:pPr>
            <w:r>
              <w:t xml:space="preserve">host syslog (partial)</w:t>
            </w:r>
          </w:p>
        </w:tc>
        <w:tc>
          <w:p>
            <w:pPr>
              <w:pStyle w:val="Compact"/>
              <w:jc w:val="left"/>
            </w:pPr>
            <w:r>
              <w:t xml:space="preserve">mct-det-PE-05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Backlog — telemetry gap, depends on R4</w:t>
            </w:r>
          </w:p>
        </w:tc>
      </w:tr>
    </w:tbl>
    <w:p>
      <w:pPr>
        <w:pStyle w:val="Heading3"/>
      </w:pPr>
      <w:bookmarkStart w:id="30" w:name="X88f9b3a7229e918b69ebacc2116d1c36b5f7d73"/>
      <w:r>
        <w:t xml:space="preserve">3.4 Privilege Escalation (TA0004)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PR-01</w:t>
            </w:r>
          </w:p>
        </w:tc>
        <w:tc>
          <w:p>
            <w:pPr>
              <w:pStyle w:val="Compact"/>
              <w:jc w:val="left"/>
            </w:pPr>
            <w:r>
              <w:t xml:space="preserve">Use of</w:t>
            </w:r>
            <w:r>
              <w:t xml:space="preserve"> </w:t>
            </w:r>
            <w:r>
              <w:rPr>
                <w:rStyle w:val="VerbatimChar"/>
              </w:rPr>
              <w:t xml:space="preserve">iam:PassRole</w:t>
            </w:r>
            <w:r>
              <w:t xml:space="preserve"> </w:t>
            </w:r>
            <w:r>
              <w:t xml:space="preserve">to escalate to a privileged role outside approved patterns</w:t>
            </w:r>
          </w:p>
        </w:tc>
        <w:tc>
          <w:p>
            <w:pPr>
              <w:pStyle w:val="Compact"/>
              <w:jc w:val="left"/>
            </w:pPr>
            <w:r>
              <w:t xml:space="preserve">T1548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mct-det-PR-01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PR-02</w:t>
            </w:r>
          </w:p>
        </w:tc>
        <w:tc>
          <w:p>
            <w:pPr>
              <w:pStyle w:val="Compact"/>
              <w:jc w:val="left"/>
            </w:pPr>
            <w:r>
              <w:t xml:space="preserve">EKS RBAC binding granting cluster-admin to new subject</w:t>
            </w:r>
          </w:p>
        </w:tc>
        <w:tc>
          <w:p>
            <w:pPr>
              <w:pStyle w:val="Compact"/>
              <w:jc w:val="left"/>
            </w:pPr>
            <w:r>
              <w:t xml:space="preserve">T1548</w:t>
            </w:r>
          </w:p>
        </w:tc>
        <w:tc>
          <w:p>
            <w:pPr>
              <w:pStyle w:val="Compact"/>
              <w:jc w:val="left"/>
            </w:pPr>
            <w:r>
              <w:t xml:space="preserve">EKS</w:t>
            </w:r>
          </w:p>
        </w:tc>
        <w:tc>
          <w:p>
            <w:pPr>
              <w:pStyle w:val="Compact"/>
              <w:jc w:val="left"/>
            </w:pPr>
            <w:r>
              <w:t xml:space="preserve">mct-det-PR-02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PR-03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workflow modified to add</w:t>
            </w:r>
            <w:r>
              <w:t xml:space="preserve"> </w:t>
            </w:r>
            <w:r>
              <w:rPr>
                <w:rStyle w:val="VerbatimChar"/>
              </w:rPr>
              <w:t xml:space="preserve">pull_request_target</w:t>
            </w:r>
            <w:r>
              <w:t xml:space="preserve"> </w:t>
            </w:r>
            <w:r>
              <w:t xml:space="preserve">with secret access</w:t>
            </w:r>
          </w:p>
        </w:tc>
        <w:tc>
          <w:p>
            <w:pPr>
              <w:pStyle w:val="Compact"/>
              <w:jc w:val="left"/>
            </w:pPr>
            <w:r>
              <w:t xml:space="preserve">T1078, T1098</w:t>
            </w:r>
          </w:p>
        </w:tc>
        <w:tc>
          <w:p>
            <w:pPr>
              <w:pStyle w:val="Compact"/>
              <w:jc w:val="left"/>
            </w:pPr>
            <w:r>
              <w:t xml:space="preserve">GH</w:t>
            </w:r>
          </w:p>
        </w:tc>
        <w:tc>
          <w:p>
            <w:pPr>
              <w:pStyle w:val="Compact"/>
              <w:jc w:val="left"/>
            </w:pPr>
            <w:r>
              <w:t xml:space="preserve">mct-det-PR-03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Tuning</w:t>
            </w:r>
          </w:p>
        </w:tc>
      </w:tr>
    </w:tbl>
    <w:p>
      <w:pPr>
        <w:pStyle w:val="Heading3"/>
      </w:pPr>
      <w:bookmarkStart w:id="31" w:name="Xe9b86d8e89f94fd5dc9f75f8a365f924ef55f2c"/>
      <w:r>
        <w:t xml:space="preserve">3.5 Credential Access (TA0006)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CA-01</w:t>
            </w:r>
          </w:p>
        </w:tc>
        <w:tc>
          <w:p>
            <w:pPr>
              <w:pStyle w:val="Compact"/>
              <w:jc w:val="left"/>
            </w:pPr>
            <w:r>
              <w:t xml:space="preserve">Repeated authentication failures across many accounts from single source (password spray)</w:t>
            </w:r>
          </w:p>
        </w:tc>
        <w:tc>
          <w:p>
            <w:pPr>
              <w:pStyle w:val="Compact"/>
              <w:jc w:val="left"/>
            </w:pPr>
            <w:r>
              <w:t xml:space="preserve">T1110.003</w:t>
            </w:r>
          </w:p>
        </w:tc>
        <w:tc>
          <w:p>
            <w:pPr>
              <w:pStyle w:val="Compact"/>
              <w:jc w:val="left"/>
            </w:pPr>
            <w:r>
              <w:t xml:space="preserve">OKT</w:t>
            </w:r>
          </w:p>
        </w:tc>
        <w:tc>
          <w:p>
            <w:pPr>
              <w:pStyle w:val="Compact"/>
              <w:jc w:val="left"/>
            </w:pPr>
            <w:r>
              <w:t xml:space="preserve">mct-det-CA-01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CA-02</w:t>
            </w:r>
          </w:p>
        </w:tc>
        <w:tc>
          <w:p>
            <w:pPr>
              <w:pStyle w:val="Compact"/>
              <w:jc w:val="left"/>
            </w:pPr>
            <w:r>
              <w:t xml:space="preserve">Secrets manager (AWS Secrets Manager)</w:t>
            </w:r>
            <w:r>
              <w:t xml:space="preserve"> </w:t>
            </w:r>
            <w:r>
              <w:rPr>
                <w:rStyle w:val="VerbatimChar"/>
              </w:rPr>
              <w:t xml:space="preserve">GetSecretValue</w:t>
            </w:r>
            <w:r>
              <w:t xml:space="preserve"> </w:t>
            </w:r>
            <w:r>
              <w:t xml:space="preserve">for production secret from non-prod role</w:t>
            </w:r>
          </w:p>
        </w:tc>
        <w:tc>
          <w:p>
            <w:pPr>
              <w:pStyle w:val="Compact"/>
              <w:jc w:val="left"/>
            </w:pPr>
            <w:r>
              <w:t xml:space="preserve">T1555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mct-det-CA-02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CA-03</w:t>
            </w:r>
          </w:p>
        </w:tc>
        <w:tc>
          <w:p>
            <w:pPr>
              <w:pStyle w:val="Compact"/>
              <w:jc w:val="left"/>
            </w:pPr>
            <w:r>
              <w:t xml:space="preserve">GitHub secret scanning alert reopen / dismissed without remediation</w:t>
            </w:r>
          </w:p>
        </w:tc>
        <w:tc>
          <w:p>
            <w:pPr>
              <w:pStyle w:val="Compact"/>
              <w:jc w:val="left"/>
            </w:pPr>
            <w:r>
              <w:t xml:space="preserve">T1552.004</w:t>
            </w:r>
          </w:p>
        </w:tc>
        <w:tc>
          <w:p>
            <w:pPr>
              <w:pStyle w:val="Compact"/>
              <w:jc w:val="left"/>
            </w:pPr>
            <w:r>
              <w:t xml:space="preserve">GH</w:t>
            </w:r>
          </w:p>
        </w:tc>
        <w:tc>
          <w:p>
            <w:pPr>
              <w:pStyle w:val="Compact"/>
              <w:jc w:val="left"/>
            </w:pPr>
            <w:r>
              <w:t xml:space="preserve">mct-det-CA-03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CA-04</w:t>
            </w:r>
          </w:p>
        </w:tc>
        <w:tc>
          <w:p>
            <w:pPr>
              <w:pStyle w:val="Compact"/>
              <w:jc w:val="left"/>
            </w:pPr>
            <w:r>
              <w:t xml:space="preserve">EC2 IMDSv1 access from inside production VPC (only IMDSv2 allowed)</w:t>
            </w:r>
          </w:p>
        </w:tc>
        <w:tc>
          <w:p>
            <w:pPr>
              <w:pStyle w:val="Compact"/>
              <w:jc w:val="left"/>
            </w:pPr>
            <w:r>
              <w:t xml:space="preserve">T1552.005</w:t>
            </w:r>
          </w:p>
        </w:tc>
        <w:tc>
          <w:p>
            <w:pPr>
              <w:pStyle w:val="Compact"/>
              <w:jc w:val="left"/>
            </w:pPr>
            <w:r>
              <w:t xml:space="preserve">CT, VPC flow</w:t>
            </w:r>
          </w:p>
        </w:tc>
        <w:tc>
          <w:p>
            <w:pPr>
              <w:pStyle w:val="Compact"/>
              <w:jc w:val="left"/>
            </w:pPr>
            <w:r>
              <w:t xml:space="preserve">mct-det-CA-04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Tuning — known FPs from one legacy build agent until decom</w:t>
            </w:r>
          </w:p>
        </w:tc>
      </w:tr>
    </w:tbl>
    <w:p>
      <w:pPr>
        <w:pStyle w:val="Heading3"/>
      </w:pPr>
      <w:bookmarkStart w:id="32" w:name="X6b9b13412d8821caec061c2c88669273460dc40"/>
      <w:r>
        <w:t xml:space="preserve">3.6 Discovery (TA0007)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DI-01</w:t>
            </w:r>
          </w:p>
        </w:tc>
        <w:tc>
          <w:p>
            <w:pPr>
              <w:pStyle w:val="Compact"/>
              <w:jc w:val="left"/>
            </w:pPr>
            <w:r>
              <w:t xml:space="preserve">Bulk</w:t>
            </w:r>
            <w:r>
              <w:t xml:space="preserve"> </w:t>
            </w:r>
            <w:r>
              <w:rPr>
                <w:rStyle w:val="VerbatimChar"/>
              </w:rPr>
              <w:t xml:space="preserve">Describe*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List*</w:t>
            </w:r>
            <w:r>
              <w:t xml:space="preserve"> </w:t>
            </w:r>
            <w:r>
              <w:t xml:space="preserve">API enumeration from a single principal</w:t>
            </w:r>
          </w:p>
        </w:tc>
        <w:tc>
          <w:p>
            <w:pPr>
              <w:pStyle w:val="Compact"/>
              <w:jc w:val="left"/>
            </w:pPr>
            <w:r>
              <w:t xml:space="preserve">T1580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mct-det-DI-01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DI-02</w:t>
            </w:r>
          </w:p>
        </w:tc>
        <w:tc>
          <w:p>
            <w:pPr>
              <w:pStyle w:val="Compact"/>
              <w:jc w:val="left"/>
            </w:pPr>
            <w:r>
              <w:t xml:space="preserve">Snowflake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</w:t>
            </w:r>
            <w:r>
              <w:t xml:space="preserve"> </w:t>
            </w:r>
            <w:r>
              <w:t xml:space="preserve">enumeration by non-admin role</w:t>
            </w:r>
          </w:p>
        </w:tc>
        <w:tc>
          <w:p>
            <w:pPr>
              <w:pStyle w:val="Compact"/>
              <w:jc w:val="left"/>
            </w:pPr>
            <w:r>
              <w:t xml:space="preserve">T1087</w:t>
            </w:r>
          </w:p>
        </w:tc>
        <w:tc>
          <w:p>
            <w:pPr>
              <w:pStyle w:val="Compact"/>
              <w:jc w:val="left"/>
            </w:pPr>
            <w:r>
              <w:t xml:space="preserve">SF</w:t>
            </w:r>
          </w:p>
        </w:tc>
        <w:tc>
          <w:p>
            <w:pPr>
              <w:pStyle w:val="Compact"/>
              <w:jc w:val="left"/>
            </w:pPr>
            <w:r>
              <w:t xml:space="preserve">mct-det-DI-02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Tuning — analyst tooling drives 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DI-03</w:t>
            </w:r>
          </w:p>
        </w:tc>
        <w:tc>
          <w:p>
            <w:pPr>
              <w:pStyle w:val="Compact"/>
              <w:jc w:val="left"/>
            </w:pPr>
            <w:r>
              <w:t xml:space="preserve">Aurora</w:t>
            </w:r>
            <w:r>
              <w:t xml:space="preserve"> </w:t>
            </w:r>
            <w:r>
              <w:rPr>
                <w:rStyle w:val="VerbatimChar"/>
              </w:rPr>
              <w:t xml:space="preserve">pg_catalog</w:t>
            </w:r>
            <w:r>
              <w:t xml:space="preserve"> </w:t>
            </w:r>
            <w:r>
              <w:t xml:space="preserve">enumeration by non-DBA role</w:t>
            </w:r>
          </w:p>
        </w:tc>
        <w:tc>
          <w:p>
            <w:pPr>
              <w:pStyle w:val="Compact"/>
              <w:jc w:val="left"/>
            </w:pPr>
            <w:r>
              <w:t xml:space="preserve">T1087</w:t>
            </w:r>
          </w:p>
        </w:tc>
        <w:tc>
          <w:p>
            <w:pPr>
              <w:pStyle w:val="Compact"/>
              <w:jc w:val="left"/>
            </w:pPr>
            <w:r>
              <w:t xml:space="preserve">pgA</w:t>
            </w:r>
          </w:p>
        </w:tc>
        <w:tc>
          <w:p>
            <w:pPr>
              <w:pStyle w:val="Compact"/>
              <w:jc w:val="left"/>
            </w:pPr>
            <w:r>
              <w:t xml:space="preserve">mct-det-DI-03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Heading3"/>
      </w:pPr>
      <w:bookmarkStart w:id="33" w:name="X5a9037ff20ad6d19dea959ee338dbf1b18f12c0"/>
      <w:r>
        <w:t xml:space="preserve">3.7 Lateral Movement (TA0008)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LM-01</w:t>
            </w:r>
          </w:p>
        </w:tc>
        <w:tc>
          <w:p>
            <w:pPr>
              <w:pStyle w:val="Compact"/>
              <w:jc w:val="left"/>
            </w:pPr>
            <w:r>
              <w:t xml:space="preserve">Use of long-term IAM credentials from an EKS pod that should use IRSA</w:t>
            </w:r>
          </w:p>
        </w:tc>
        <w:tc>
          <w:p>
            <w:pPr>
              <w:pStyle w:val="Compact"/>
              <w:jc w:val="left"/>
            </w:pPr>
            <w:r>
              <w:t xml:space="preserve">T1550</w:t>
            </w:r>
          </w:p>
        </w:tc>
        <w:tc>
          <w:p>
            <w:pPr>
              <w:pStyle w:val="Compact"/>
              <w:jc w:val="left"/>
            </w:pPr>
            <w:r>
              <w:t xml:space="preserve">CT, EKS</w:t>
            </w:r>
          </w:p>
        </w:tc>
        <w:tc>
          <w:p>
            <w:pPr>
              <w:pStyle w:val="Compact"/>
              <w:jc w:val="left"/>
            </w:pPr>
            <w:r>
              <w:t xml:space="preserve">mct-det-LM-01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LM-02</w:t>
            </w:r>
          </w:p>
        </w:tc>
        <w:tc>
          <w:p>
            <w:pPr>
              <w:pStyle w:val="Compact"/>
              <w:jc w:val="left"/>
            </w:pPr>
            <w:r>
              <w:t xml:space="preserve">East-west traffic that bypasses service mesh mTLS (FY26 zero-trust scope)</w:t>
            </w:r>
          </w:p>
        </w:tc>
        <w:tc>
          <w:p>
            <w:pPr>
              <w:pStyle w:val="Compact"/>
              <w:jc w:val="left"/>
            </w:pPr>
            <w:r>
              <w:t xml:space="preserve">T1021</w:t>
            </w:r>
          </w:p>
        </w:tc>
        <w:tc>
          <w:p>
            <w:pPr>
              <w:pStyle w:val="Compact"/>
              <w:jc w:val="left"/>
            </w:pPr>
            <w:r>
              <w:t xml:space="preserve">VPC flow, mesh logs</w:t>
            </w:r>
          </w:p>
        </w:tc>
        <w:tc>
          <w:p>
            <w:pPr>
              <w:pStyle w:val="Compact"/>
              <w:jc w:val="left"/>
            </w:pPr>
            <w:r>
              <w:t xml:space="preserve">mct-det-LM-02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Backlog — depends on FY26 zero-trust rollout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LM-03</w:t>
            </w:r>
          </w:p>
        </w:tc>
        <w:tc>
          <w:p>
            <w:pPr>
              <w:pStyle w:val="Compact"/>
              <w:jc w:val="left"/>
            </w:pPr>
            <w:r>
              <w:t xml:space="preserve">Workforce account authenticating to production AWS via federation outside business pattern</w:t>
            </w:r>
          </w:p>
        </w:tc>
        <w:tc>
          <w:p>
            <w:pPr>
              <w:pStyle w:val="Compact"/>
              <w:jc w:val="left"/>
            </w:pPr>
            <w:r>
              <w:t xml:space="preserve">T1078.004</w:t>
            </w:r>
          </w:p>
        </w:tc>
        <w:tc>
          <w:p>
            <w:pPr>
              <w:pStyle w:val="Compact"/>
              <w:jc w:val="left"/>
            </w:pPr>
            <w:r>
              <w:t xml:space="preserve">OKT, CT</w:t>
            </w:r>
          </w:p>
        </w:tc>
        <w:tc>
          <w:p>
            <w:pPr>
              <w:pStyle w:val="Compact"/>
              <w:jc w:val="left"/>
            </w:pPr>
            <w:r>
              <w:t xml:space="preserve">mct-det-LM-03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LM-04</w:t>
            </w:r>
          </w:p>
        </w:tc>
        <w:tc>
          <w:p>
            <w:pPr>
              <w:pStyle w:val="Compact"/>
              <w:jc w:val="left"/>
            </w:pPr>
            <w:r>
              <w:t xml:space="preserve">Inbound SMB / RDP from corporate to legacy ETL host outside admin pattern</w:t>
            </w:r>
          </w:p>
        </w:tc>
        <w:tc>
          <w:p>
            <w:pPr>
              <w:pStyle w:val="Compact"/>
              <w:jc w:val="left"/>
            </w:pPr>
            <w:r>
              <w:t xml:space="preserve">T1021</w:t>
            </w:r>
          </w:p>
        </w:tc>
        <w:tc>
          <w:p>
            <w:pPr>
              <w:pStyle w:val="Compact"/>
              <w:jc w:val="left"/>
            </w:pPr>
            <w:r>
              <w:t xml:space="preserve">host syslog (partial)</w:t>
            </w:r>
          </w:p>
        </w:tc>
        <w:tc>
          <w:p>
            <w:pPr>
              <w:pStyle w:val="Compact"/>
              <w:jc w:val="left"/>
            </w:pPr>
            <w:r>
              <w:t xml:space="preserve">mct-det-LM-04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Backlog — telemetry gap, depends on R4</w:t>
            </w:r>
          </w:p>
        </w:tc>
      </w:tr>
    </w:tbl>
    <w:p>
      <w:pPr>
        <w:pStyle w:val="Heading3"/>
      </w:pPr>
      <w:bookmarkStart w:id="34" w:name="Xb1f864fa79f1cc495a149d8ffd37b17616a7ffa"/>
      <w:r>
        <w:t xml:space="preserve">3.8 Exfiltration (TA0010)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Anomalous</w:t>
            </w:r>
            <w:r>
              <w:t xml:space="preserve"> </w:t>
            </w:r>
            <w:r>
              <w:rPr>
                <w:rStyle w:val="VerbatimChar"/>
              </w:rPr>
              <w:t xml:space="preserve">s3:GetObject</w:t>
            </w:r>
            <w:r>
              <w:t xml:space="preserve"> </w:t>
            </w:r>
            <w:r>
              <w:t xml:space="preserve">volume from production bucket to non-MCT principal</w:t>
            </w:r>
          </w:p>
        </w:tc>
        <w:tc>
          <w:p>
            <w:pPr>
              <w:pStyle w:val="Compact"/>
              <w:jc w:val="left"/>
            </w:pPr>
            <w:r>
              <w:t xml:space="preserve">T1530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mct-det-EF-01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Snowflake bulk</w:t>
            </w:r>
            <w:r>
              <w:t xml:space="preserve"> </w:t>
            </w:r>
            <w:r>
              <w:rPr>
                <w:rStyle w:val="VerbatimChar"/>
              </w:rPr>
              <w:t xml:space="preserve">COPY INTO @stage</w:t>
            </w:r>
            <w:r>
              <w:t xml:space="preserve"> </w:t>
            </w:r>
            <w:r>
              <w:t xml:space="preserve">external unload by non-ETL role</w:t>
            </w:r>
          </w:p>
        </w:tc>
        <w:tc>
          <w:p>
            <w:pPr>
              <w:pStyle w:val="Compact"/>
              <w:jc w:val="left"/>
            </w:pPr>
            <w:r>
              <w:t xml:space="preserve">T1041</w:t>
            </w:r>
          </w:p>
        </w:tc>
        <w:tc>
          <w:p>
            <w:pPr>
              <w:pStyle w:val="Compact"/>
              <w:jc w:val="left"/>
            </w:pPr>
            <w:r>
              <w:t xml:space="preserve">SF</w:t>
            </w:r>
          </w:p>
        </w:tc>
        <w:tc>
          <w:p>
            <w:pPr>
              <w:pStyle w:val="Compact"/>
              <w:jc w:val="left"/>
            </w:pPr>
            <w:r>
              <w:t xml:space="preserve">mct-det-EF-02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Aurora large result-set query from interactive (non-application) role</w:t>
            </w:r>
          </w:p>
        </w:tc>
        <w:tc>
          <w:p>
            <w:pPr>
              <w:pStyle w:val="Compact"/>
              <w:jc w:val="left"/>
            </w:pPr>
            <w:r>
              <w:t xml:space="preserve">T1041</w:t>
            </w:r>
          </w:p>
        </w:tc>
        <w:tc>
          <w:p>
            <w:pPr>
              <w:pStyle w:val="Compact"/>
              <w:jc w:val="left"/>
            </w:pPr>
            <w:r>
              <w:t xml:space="preserve">pgA</w:t>
            </w:r>
          </w:p>
        </w:tc>
        <w:tc>
          <w:p>
            <w:pPr>
              <w:pStyle w:val="Compact"/>
              <w:jc w:val="left"/>
            </w:pPr>
            <w:r>
              <w:t xml:space="preserve">mct-det-EF-03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</w:t>
            </w:r>
          </w:p>
        </w:tc>
        <w:tc>
          <w:p>
            <w:pPr>
              <w:pStyle w:val="Compact"/>
              <w:jc w:val="left"/>
            </w:pPr>
            <w:r>
              <w:t xml:space="preserve">M365 anomalous mailbox export / forwarding rule creation</w:t>
            </w:r>
          </w:p>
        </w:tc>
        <w:tc>
          <w:p>
            <w:pPr>
              <w:pStyle w:val="Compact"/>
              <w:jc w:val="left"/>
            </w:pPr>
            <w:r>
              <w:t xml:space="preserve">T1114.003</w:t>
            </w:r>
          </w:p>
        </w:tc>
        <w:tc>
          <w:p>
            <w:pPr>
              <w:pStyle w:val="Compact"/>
              <w:jc w:val="left"/>
            </w:pPr>
            <w:r>
              <w:t xml:space="preserve">M365</w:t>
            </w:r>
          </w:p>
        </w:tc>
        <w:tc>
          <w:p>
            <w:pPr>
              <w:pStyle w:val="Compact"/>
              <w:jc w:val="left"/>
            </w:pPr>
            <w:r>
              <w:t xml:space="preserve">mct-det-EF-04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EF-05</w:t>
            </w:r>
          </w:p>
        </w:tc>
        <w:tc>
          <w:p>
            <w:pPr>
              <w:pStyle w:val="Compact"/>
              <w:jc w:val="left"/>
            </w:pPr>
            <w:r>
              <w:t xml:space="preserve">High-volume egress from legacy ETL cluster to non-allowlisted destination</w:t>
            </w:r>
          </w:p>
        </w:tc>
        <w:tc>
          <w:p>
            <w:pPr>
              <w:pStyle w:val="Compact"/>
              <w:jc w:val="left"/>
            </w:pPr>
            <w:r>
              <w:t xml:space="preserve">T1041</w:t>
            </w:r>
          </w:p>
        </w:tc>
        <w:tc>
          <w:p>
            <w:pPr>
              <w:pStyle w:val="Compact"/>
              <w:jc w:val="left"/>
            </w:pPr>
            <w:r>
              <w:t xml:space="preserve">edge firewall flow</w:t>
            </w:r>
          </w:p>
        </w:tc>
        <w:tc>
          <w:p>
            <w:pPr>
              <w:pStyle w:val="Compact"/>
              <w:jc w:val="left"/>
            </w:pPr>
            <w:r>
              <w:t xml:space="preserve">mct-det-EF-05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Tuning — coarse-grained signal pending R4 closure</w:t>
            </w:r>
          </w:p>
        </w:tc>
      </w:tr>
    </w:tbl>
    <w:p>
      <w:pPr>
        <w:pStyle w:val="Heading3"/>
      </w:pPr>
      <w:bookmarkStart w:id="35" w:name="X7b3f79cc2c0f2b4f6609842a880abf2d256ed0c"/>
      <w:r>
        <w:t xml:space="preserve">3.9 Impact (TA0040)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ATT&amp;CK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IM-01</w:t>
            </w:r>
          </w:p>
        </w:tc>
        <w:tc>
          <w:p>
            <w:pPr>
              <w:pStyle w:val="Compact"/>
              <w:jc w:val="left"/>
            </w:pPr>
            <w:r>
              <w:t xml:space="preserve">Mass deletion of S3 objects in production bucket</w:t>
            </w:r>
          </w:p>
        </w:tc>
        <w:tc>
          <w:p>
            <w:pPr>
              <w:pStyle w:val="Compact"/>
              <w:jc w:val="left"/>
            </w:pPr>
            <w:r>
              <w:t xml:space="preserve">T1485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mct-det-IM-01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IM-02</w:t>
            </w:r>
          </w:p>
        </w:tc>
        <w:tc>
          <w:p>
            <w:pPr>
              <w:pStyle w:val="Compact"/>
              <w:jc w:val="left"/>
            </w:pPr>
            <w:r>
              <w:t xml:space="preserve">KMS key disable / scheduled deletion on customer-managed key</w:t>
            </w:r>
          </w:p>
        </w:tc>
        <w:tc>
          <w:p>
            <w:pPr>
              <w:pStyle w:val="Compact"/>
              <w:jc w:val="left"/>
            </w:pPr>
            <w:r>
              <w:t xml:space="preserve">T1485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mct-det-IM-02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IM-03</w:t>
            </w:r>
          </w:p>
        </w:tc>
        <w:tc>
          <w:p>
            <w:pPr>
              <w:pStyle w:val="Compact"/>
              <w:jc w:val="left"/>
            </w:pPr>
            <w:r>
              <w:t xml:space="preserve">Aurora cluster deletion or stop-DB-instance</w:t>
            </w:r>
          </w:p>
        </w:tc>
        <w:tc>
          <w:p>
            <w:pPr>
              <w:pStyle w:val="Compact"/>
              <w:jc w:val="left"/>
            </w:pPr>
            <w:r>
              <w:t xml:space="preserve">T1485, T1490</w:t>
            </w:r>
          </w:p>
        </w:tc>
        <w:tc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p>
            <w:pPr>
              <w:pStyle w:val="Compact"/>
              <w:jc w:val="left"/>
            </w:pPr>
            <w:r>
              <w:t xml:space="preserve">mct-det-IM-03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IM-04</w:t>
            </w:r>
          </w:p>
        </w:tc>
        <w:tc>
          <w:p>
            <w:pPr>
              <w:pStyle w:val="Compact"/>
              <w:jc w:val="left"/>
            </w:pPr>
            <w:r>
              <w:t xml:space="preserve">Falcon ransomware behavioral indicator on managed endpoint</w:t>
            </w:r>
          </w:p>
        </w:tc>
        <w:tc>
          <w:p>
            <w:pPr>
              <w:pStyle w:val="Compact"/>
              <w:jc w:val="left"/>
            </w:pPr>
            <w:r>
              <w:t xml:space="preserve">T1486</w:t>
            </w:r>
          </w:p>
        </w:tc>
        <w:tc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p>
            <w:pPr>
              <w:pStyle w:val="Compact"/>
              <w:jc w:val="left"/>
            </w:pPr>
            <w:r>
              <w:t xml:space="preserve">mct-det-IM-04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IM-05</w:t>
            </w:r>
          </w:p>
        </w:tc>
        <w:tc>
          <w:p>
            <w:pPr>
              <w:pStyle w:val="Compact"/>
              <w:jc w:val="left"/>
            </w:pPr>
            <w:r>
              <w:t xml:space="preserve">Snowflake mass</w:t>
            </w:r>
            <w:r>
              <w:t xml:space="preserve"> </w:t>
            </w:r>
            <w:r>
              <w:rPr>
                <w:rStyle w:val="VerbatimChar"/>
              </w:rPr>
              <w:t xml:space="preserve">DROP TABLE</w:t>
            </w:r>
            <w:r>
              <w:t xml:space="preserve"> </w:t>
            </w:r>
            <w:r>
              <w:t xml:space="preserve">outside change window</w:t>
            </w:r>
          </w:p>
        </w:tc>
        <w:tc>
          <w:p>
            <w:pPr>
              <w:pStyle w:val="Compact"/>
              <w:jc w:val="left"/>
            </w:pPr>
            <w:r>
              <w:t xml:space="preserve">T1485</w:t>
            </w:r>
          </w:p>
        </w:tc>
        <w:tc>
          <w:p>
            <w:pPr>
              <w:pStyle w:val="Compact"/>
              <w:jc w:val="left"/>
            </w:pPr>
            <w:r>
              <w:t xml:space="preserve">SF</w:t>
            </w:r>
          </w:p>
        </w:tc>
        <w:tc>
          <w:p>
            <w:pPr>
              <w:pStyle w:val="Compact"/>
              <w:jc w:val="left"/>
            </w:pPr>
            <w:r>
              <w:t xml:space="preserve">mct-det-IM-05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Heading2"/>
      </w:pPr>
      <w:bookmarkStart w:id="36" w:name="X41f0343c1ca165f1dadac58d9767b83feeae8df"/>
      <w:r>
        <w:t xml:space="preserve">4. Catalog Statistics</w:t>
      </w:r>
      <w:bookmarkEnd w:id="36"/>
    </w:p>
    <w:p>
      <w:pPr>
        <w:pStyle w:val="FirstParagraph"/>
      </w:pPr>
      <w:r>
        <w:t xml:space="preserve">As of January 28, 2026: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documented use cases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Tuning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7 use cases in</w:t>
      </w:r>
      <w:r>
        <w:t xml:space="preserve"> </w:t>
      </w:r>
      <w:r>
        <w:rPr>
          <w:b/>
        </w:rPr>
        <w:t xml:space="preserve">Tuning</w:t>
      </w:r>
      <w:r>
        <w:t xml:space="preserve"> </w:t>
      </w:r>
      <w:r>
        <w:t xml:space="preserve">state are the focus of the Q1 2026 alert tuning sprint (see PROC-AlertTriage §7) and reflect the alert-tuning debt acknowledged in RISK-Cyber-Risk-Register R3.</w:t>
      </w:r>
    </w:p>
    <w:p>
      <w:pPr>
        <w:pStyle w:val="BodyText"/>
      </w:pPr>
      <w:r>
        <w:t xml:space="preserve">The 3 use cases in</w:t>
      </w:r>
      <w:r>
        <w:t xml:space="preserve"> </w:t>
      </w:r>
      <w:r>
        <w:rPr>
          <w:b/>
        </w:rPr>
        <w:t xml:space="preserve">Backlog</w:t>
      </w:r>
      <w:r>
        <w:t xml:space="preserve"> </w:t>
      </w:r>
      <w:r>
        <w:t xml:space="preserve">state are PE-05, LM-02, and LM-04. PE-05 and LM-04 are blocked on telemetry coverage of the legacy ETL cluster (R4) and will be retired upon decommission rather than built. LM-02 depends on completion of the FY26 H1 zero-trust service mesh rollout.</w:t>
      </w:r>
    </w:p>
    <w:p>
      <w:pPr>
        <w:pStyle w:val="Heading2"/>
      </w:pPr>
      <w:bookmarkStart w:id="37" w:name="X0c16f88e0906dfe91d11a1f29370efcce6f0c90"/>
      <w:r>
        <w:t xml:space="preserve">5. Gap Analysis</w:t>
      </w:r>
      <w:bookmarkEnd w:id="37"/>
    </w:p>
    <w:p>
      <w:pPr>
        <w:pStyle w:val="FirstParagraph"/>
      </w:pPr>
      <w:r>
        <w:t xml:space="preserve">The detection program is honest about the following gaps. They are reviewed quarterly at the Security Steering Committee and tracked in the cyber risk register.</w:t>
      </w:r>
    </w:p>
    <w:p>
      <w:pPr>
        <w:pStyle w:val="Heading3"/>
      </w:pPr>
      <w:bookmarkStart w:id="38" w:name="Xe1750efa4c2974ffb73c3b3a48e96aeaf573852"/>
      <w:r>
        <w:t xml:space="preserve">5.1 Telemetry-driven gaps</w:t>
      </w:r>
      <w:bookmarkEnd w:id="3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Legacy ETL cluster (R4).</w:t>
      </w:r>
      <w:r>
        <w:t xml:space="preserve"> </w:t>
      </w:r>
      <w:r>
        <w:t xml:space="preserve">Host-level visibility is partial; database-layer audit is manual. The two backlog use cases targeting this cluster cannot be fully implemented before decommission. Compensating controls: edge-firewall egress allowlist with logging; CrowdStrike Falcon on cluster hosts (use case EX-01 covers); manual quarterly review of database audit dumps.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Internal-only Aurora reader (P3).</w:t>
      </w:r>
      <w:r>
        <w:t xml:space="preserve"> </w:t>
      </w:r>
      <w:r>
        <w:t xml:space="preserve">Query-level pgAudit is not enabled; lateral-movement and exfiltration detection on the reader is limited to connection-level events.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East-west service-mesh telemetry.</w:t>
      </w:r>
      <w:r>
        <w:t xml:space="preserve"> </w:t>
      </w:r>
      <w:r>
        <w:t xml:space="preserve">mTLS traffic logs are not yet centralized pending zero-trust rollout (FY26 H1). LM-02 backlog will resolve as part of that work.</w:t>
      </w:r>
    </w:p>
    <w:p>
      <w:pPr>
        <w:pStyle w:val="Heading3"/>
      </w:pPr>
      <w:bookmarkStart w:id="39" w:name="Xc61bab3c352a4c8014d409b51252ffd31cb440a"/>
      <w:r>
        <w:t xml:space="preserve">5.2 Tuning-driven gaps (R3)</w:t>
      </w:r>
      <w:bookmarkEnd w:id="3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High false-positive rate on tier-1 alerts (~28%, Q1 2026).</w:t>
      </w:r>
      <w:r>
        <w:t xml:space="preserve"> </w:t>
      </w:r>
      <w:r>
        <w:t xml:space="preserve">Acknowledged debt. Driven primarily by IA-04 (synthetic monitoring traffic), DI-02 (analyst tooling), CA-04 (legacy build agent), EX-04 (Snowflake auto-scale), and PR-03 (CI/CD churn). The Q1 2026 tuning sprint (one engineer at 50% allocation) is targeting these five and is forecast to close R3 to a residual score of 5 by June 30, 2026.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Snowflake compute anomaly runbook (EX-04) is draft.</w:t>
      </w:r>
      <w:r>
        <w:t xml:space="preserve"> </w:t>
      </w:r>
      <w:r>
        <w:t xml:space="preserve">Use case is in Tuning until the runbook is approved.</w:t>
      </w:r>
    </w:p>
    <w:p>
      <w:pPr>
        <w:pStyle w:val="Heading3"/>
      </w:pPr>
      <w:bookmarkStart w:id="40" w:name="X014d927bf47158c1b492a0677116a75c0f7a79f"/>
      <w:r>
        <w:t xml:space="preserve">5.3 Coverage gaps not yet driven into a use case</w:t>
      </w:r>
      <w:bookmarkEnd w:id="40"/>
    </w:p>
    <w:p>
      <w:pPr>
        <w:numPr>
          <w:ilvl w:val="0"/>
          <w:numId w:val="1003"/>
        </w:numPr>
        <w:pStyle w:val="Compact"/>
      </w:pPr>
      <w:r>
        <w:t xml:space="preserve">Insider-threat / UEBA tuning on production access logs is captured separately as RISK R7.</w:t>
      </w:r>
    </w:p>
    <w:p>
      <w:pPr>
        <w:numPr>
          <w:ilvl w:val="0"/>
          <w:numId w:val="1003"/>
        </w:numPr>
        <w:pStyle w:val="Compact"/>
      </w:pPr>
      <w:r>
        <w:t xml:space="preserve">Patient-portal CIAM (Auth0) anomaly detection is captured under RISK R8 and is in Auth0-native rules; integration into Datadog SIEM is on the FY26 backlog.</w:t>
      </w:r>
    </w:p>
    <w:p>
      <w:pPr>
        <w:pStyle w:val="Heading2"/>
      </w:pPr>
      <w:bookmarkStart w:id="41" w:name="X912138fcf0a2215374a8c4437f2256c2ede51a7"/>
      <w:r>
        <w:t xml:space="preserve">6. Lifecycle of a Detection Use Case</w:t>
      </w:r>
      <w:bookmarkEnd w:id="4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Idea</w:t>
      </w:r>
      <w:r>
        <w:t xml:space="preserve"> </w:t>
      </w:r>
      <w:r>
        <w:t xml:space="preserve">— proposed by analyst, engineer, threat-intel feed, post-incident review, or red team.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Backlog</w:t>
      </w:r>
      <w:r>
        <w:t xml:space="preserve"> </w:t>
      </w:r>
      <w:r>
        <w:t xml:space="preserve">— captured in this catalog with telemetry/dependency notes.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Drafting</w:t>
      </w:r>
      <w:r>
        <w:t xml:space="preserve"> </w:t>
      </w:r>
      <w:r>
        <w:t xml:space="preserve">— Sigma rule authored in</w:t>
      </w:r>
      <w:r>
        <w:t xml:space="preserve"> </w:t>
      </w:r>
      <w:r>
        <w:rPr>
          <w:rStyle w:val="VerbatimChar"/>
        </w:rPr>
        <w:t xml:space="preserve">mct-detection-content</w:t>
      </w:r>
      <w:r>
        <w:t xml:space="preserve">; reviewed by D&amp;R engineer.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Tuning</w:t>
      </w:r>
      <w:r>
        <w:t xml:space="preserve"> </w:t>
      </w:r>
      <w:r>
        <w:t xml:space="preserve">— deployed in observation mode for at least 14 days; FP rate measured against threshold (target &lt;10%); runbook drafted.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Production</w:t>
      </w:r>
      <w:r>
        <w:t xml:space="preserve"> </w:t>
      </w:r>
      <w:r>
        <w:t xml:space="preserve">— promoted; bound to a triage tier; runbook published; included in Arctic Wolf MDR scope.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Retirement</w:t>
      </w:r>
      <w:r>
        <w:t xml:space="preserve"> </w:t>
      </w:r>
      <w:r>
        <w:t xml:space="preserve">— when the underlying threat or asset no longer applies (e.g., legacy ETL decom).</w:t>
      </w:r>
    </w:p>
    <w:p>
      <w:pPr>
        <w:pStyle w:val="FirstParagraph"/>
      </w:pPr>
      <w:r>
        <w:t xml:space="preserve">All transitions are recorded as PRs against</w:t>
      </w:r>
      <w:r>
        <w:t xml:space="preserve"> </w:t>
      </w:r>
      <w:r>
        <w:rPr>
          <w:rStyle w:val="VerbatimChar"/>
        </w:rPr>
        <w:t xml:space="preserve">mct-detection-content</w:t>
      </w:r>
      <w:r>
        <w:t xml:space="preserve"> </w:t>
      </w:r>
      <w:r>
        <w:t xml:space="preserve">and reviewed by a second D&amp;R engineer per the four-eyes requirement.</w:t>
      </w:r>
    </w:p>
    <w:p>
      <w:pPr>
        <w:pStyle w:val="Heading2"/>
      </w:pPr>
      <w:bookmarkStart w:id="42" w:name="Xeb77716839ec7262002c8808378228c7aa3536c"/>
      <w:r>
        <w:t xml:space="preserve">7. Incident-Driven Use Cases</w:t>
      </w:r>
      <w:bookmarkEnd w:id="42"/>
    </w:p>
    <w:p>
      <w:pPr>
        <w:pStyle w:val="FirstParagraph"/>
      </w:pPr>
      <w:r>
        <w:t xml:space="preserve">The Pebble Phish incident (March 14, 2024 — see Backgrounder §9) drove the creation of IA-02 (MFA fatigue / push bombing), IA-05 (auth following spray), and PE-04 (Okta admin role assignment outside change window). These remain Production-state and are reviewed annually as part of the post-incident control evaluation.</w:t>
      </w:r>
    </w:p>
    <w:p>
      <w:pPr>
        <w:pStyle w:val="Heading2"/>
      </w:pPr>
      <w:bookmarkStart w:id="43" w:name="Xcb676ea04c4251cf0b78938329be5cf22f38716"/>
      <w:r>
        <w:t xml:space="preserve">8. References</w:t>
      </w:r>
      <w:bookmarkEnd w:id="43"/>
    </w:p>
    <w:p>
      <w:pPr>
        <w:numPr>
          <w:ilvl w:val="0"/>
          <w:numId w:val="1005"/>
        </w:numPr>
        <w:pStyle w:val="Compact"/>
      </w:pPr>
      <w:r>
        <w:t xml:space="preserve">POL-001 Information Security Policy</w:t>
      </w:r>
    </w:p>
    <w:p>
      <w:pPr>
        <w:numPr>
          <w:ilvl w:val="0"/>
          <w:numId w:val="1005"/>
        </w:numPr>
        <w:pStyle w:val="Compact"/>
      </w:pPr>
      <w:r>
        <w:t xml:space="preserve">STD-LOG-01 SIEM and Central Logging Configuration Standard</w:t>
      </w:r>
    </w:p>
    <w:p>
      <w:pPr>
        <w:numPr>
          <w:ilvl w:val="0"/>
          <w:numId w:val="1005"/>
        </w:numPr>
        <w:pStyle w:val="Compact"/>
      </w:pPr>
      <w:r>
        <w:t xml:space="preserve">PROC-AlertTriage Alert Triage Procedure</w:t>
      </w:r>
    </w:p>
    <w:p>
      <w:pPr>
        <w:numPr>
          <w:ilvl w:val="0"/>
          <w:numId w:val="1005"/>
        </w:numPr>
        <w:pStyle w:val="Compact"/>
      </w:pPr>
      <w:r>
        <w:t xml:space="preserve">PLN-IR-01 Incident Response Plan</w:t>
      </w:r>
    </w:p>
    <w:p>
      <w:pPr>
        <w:numPr>
          <w:ilvl w:val="0"/>
          <w:numId w:val="1005"/>
        </w:numPr>
        <w:pStyle w:val="Compact"/>
      </w:pPr>
      <w:r>
        <w:t xml:space="preserve">RISK-Cyber-Risk-Register (R3, R4)</w:t>
      </w:r>
    </w:p>
    <w:p>
      <w:pPr>
        <w:numPr>
          <w:ilvl w:val="0"/>
          <w:numId w:val="1005"/>
        </w:numPr>
        <w:pStyle w:val="Compact"/>
      </w:pPr>
      <w:r>
        <w:t xml:space="preserve">MITRE ATT&amp;CK Enterprise Matrix v15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mct-detection-content</w:t>
      </w:r>
      <w:r>
        <w:t xml:space="preserve"> </w:t>
      </w:r>
      <w:r>
        <w:t xml:space="preserve">repository (internal — Sigma rule source of truth)</w:t>
      </w:r>
    </w:p>
    <w:p>
      <w:pPr>
        <w:pStyle w:val="Heading2"/>
      </w:pPr>
      <w:bookmarkStart w:id="44" w:name="X13d1074de16f11e4001e7f0f39e54b30695dff4"/>
      <w:r>
        <w:t xml:space="preserve">9. Document Control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2023-06</w:t>
            </w:r>
          </w:p>
        </w:tc>
        <w:tc>
          <w:p>
            <w:pPr>
              <w:pStyle w:val="Compact"/>
              <w:jc w:val="left"/>
            </w:pPr>
            <w:r>
              <w:t xml:space="preserve">M. Tan (predecessor)</w:t>
            </w:r>
          </w:p>
        </w:tc>
        <w:tc>
          <w:p>
            <w:pPr>
              <w:pStyle w:val="Compact"/>
              <w:jc w:val="left"/>
            </w:pPr>
            <w:r>
              <w:t xml:space="preserve">Initial catalog — 14 use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2024-04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Post-Pebble Phish; added IA-02/IA-05/PE-04; reorganized by ATT&amp;CK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2025-01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Added Snowflake source coverage; added Wiz integration use 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2025-07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Added GitHub-source use cases; honest tuning-state introduced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2025-10</w:t>
            </w:r>
          </w:p>
        </w:tc>
        <w:tc>
          <w:p>
            <w:pPr>
              <w:pStyle w:val="Compact"/>
              <w:jc w:val="left"/>
            </w:pPr>
            <w: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t xml:space="preserve">Added IM-* impact set; added catalog statistics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M. Tan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Quarterly review; refreshed tuning/backlog states; added gap analysis tied to R3/R4; recorded Q1 2026 tuning sprint targets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2026-04-30T19:08:43Z</dcterms:created>
  <dcterms:modified xsi:type="dcterms:W3CDTF">2026-04-30T19:08:43Z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