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lert-triage-procedure"/>
      <w:r>
        <w:t xml:space="preserve">Alert Triage Procedure</w:t>
      </w:r>
      <w:bookmarkEnd w:id="20"/>
    </w:p>
    <w:p>
      <w:pPr>
        <w:pStyle w:val="FirstParagraph"/>
      </w:pPr>
      <w:r>
        <w:rPr>
          <w:b/>
        </w:rPr>
        <w:t xml:space="preserve">Document ID:</w:t>
      </w:r>
      <w:r>
        <w:t xml:space="preserve"> </w:t>
      </w:r>
      <w:r>
        <w:t xml:space="preserve">PROC-AlertTriage</w:t>
      </w:r>
      <w:r>
        <w:t xml:space="preserve"> </w:t>
      </w:r>
      <w:r>
        <w:rPr>
          <w:b/>
        </w:rPr>
        <w:t xml:space="preserve">Version:</w:t>
      </w:r>
      <w:r>
        <w:t xml:space="preserve"> </w:t>
      </w:r>
      <w:r>
        <w:t xml:space="preserve">2.5</w:t>
      </w:r>
      <w:r>
        <w:t xml:space="preserve"> </w:t>
      </w:r>
      <w:r>
        <w:rPr>
          <w:b/>
        </w:rPr>
        <w:t xml:space="preserve">Effective date:</w:t>
      </w:r>
      <w:r>
        <w:t xml:space="preserve"> </w:t>
      </w:r>
      <w:r>
        <w:t xml:space="preserve">February 1, 2026</w:t>
      </w:r>
      <w:r>
        <w:t xml:space="preserve"> </w:t>
      </w:r>
      <w:r>
        <w:rPr>
          <w:b/>
        </w:rPr>
        <w:t xml:space="preserve">Last reviewed:</w:t>
      </w:r>
      <w:r>
        <w:t xml:space="preserve"> </w:t>
      </w:r>
      <w:r>
        <w:t xml:space="preserve">January 28, 2026</w:t>
      </w:r>
      <w:r>
        <w:t xml:space="preserve"> </w:t>
      </w:r>
      <w:r>
        <w:rPr>
          <w:b/>
        </w:rPr>
        <w:t xml:space="preserve">Next review:</w:t>
      </w:r>
      <w:r>
        <w:t xml:space="preserve"> </w:t>
      </w:r>
      <w:r>
        <w:t xml:space="preserve">January 2027 (annual; content reviewed quarterly)</w:t>
      </w:r>
      <w:r>
        <w:t xml:space="preserve"> </w:t>
      </w:r>
      <w:r>
        <w:rPr>
          <w:b/>
        </w:rPr>
        <w:t xml:space="preserve">Approver:</w:t>
      </w:r>
      <w:r>
        <w:t xml:space="preserve"> </w:t>
      </w:r>
      <w:r>
        <w:t xml:space="preserve">Sarah Yoon, CISO</w:t>
      </w:r>
      <w:r>
        <w:t xml:space="preserve"> </w:t>
      </w:r>
      <w:r>
        <w:rPr>
          <w:b/>
        </w:rPr>
        <w:t xml:space="preserve">Owner:</w:t>
      </w:r>
      <w:r>
        <w:t xml:space="preserve"> </w:t>
      </w:r>
      <w:r>
        <w:t xml:space="preserve">Marcus Tan, Security Engineer (Detection &amp; Response)</w:t>
      </w:r>
      <w:r>
        <w:t xml:space="preserve"> </w:t>
      </w:r>
      <w:r>
        <w:rPr>
          <w:b/>
        </w:rPr>
        <w:t xml:space="preserve">Distribution:</w:t>
      </w:r>
      <w:r>
        <w:t xml:space="preserve"> </w:t>
      </w:r>
      <w:r>
        <w:t xml:space="preserve">Information Security; Arctic Wolf MDR (under NDA)</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Procedure specifies how MCT triages security alerts generated by Datadog Cloud SIEM, CrowdStrike Falcon, and Arctic Wolf MDR, from receipt through closure or escalation to incident response. It implements POL-001 §3.11 (logging and continuous monitoring) and §3.12 (incident response) and supports the detection use cases catalogued in PLAYBOOK-Detection-Use-Cases.</w:t>
      </w:r>
    </w:p>
    <w:p>
      <w:pPr>
        <w:pStyle w:val="BodyText"/>
      </w:pPr>
      <w:r>
        <w:t xml:space="preserve">This Procedure is intentionally aligned with the SLAs that determine MCT's Time-to-Detect (TTD), Time-to-Investigate (TTI), and Time-to-Respond (TTR) KPIs.</w:t>
      </w:r>
    </w:p>
    <w:p>
      <w:pPr>
        <w:pStyle w:val="Heading2"/>
      </w:pPr>
      <w:bookmarkStart w:id="22" w:name="Xb66d8751654b4b3bfdfa8df98730d37eb4be826"/>
      <w:r>
        <w:t xml:space="preserve">2. Scope</w:t>
      </w:r>
      <w:bookmarkEnd w:id="22"/>
    </w:p>
    <w:p>
      <w:pPr>
        <w:pStyle w:val="FirstParagraph"/>
      </w:pPr>
      <w:r>
        <w:t xml:space="preserve">This Procedure applies to all alerts originating from in-scope log sources (STD-LOG-01) regardless of consumer (MCT analyst, Arctic Wolf, automation). It does not cover incident response after declaration — that is governed by PLN-IR-01 and the PROC-IR-* family.</w:t>
      </w:r>
    </w:p>
    <w:p>
      <w:pPr>
        <w:pStyle w:val="Heading2"/>
      </w:pPr>
      <w:bookmarkStart w:id="23" w:name="X08c4d112b88c1dfc0a973db085feec2e7473a23"/>
      <w:r>
        <w:t xml:space="preserve">3. Roles and Responsibilities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Triage responsibility</w:t>
            </w:r>
          </w:p>
        </w:tc>
      </w:tr>
      <w:tr>
        <w:tc>
          <w:p>
            <w:pPr>
              <w:pStyle w:val="Compact"/>
              <w:jc w:val="left"/>
            </w:pPr>
            <w:r>
              <w:t xml:space="preserve">Arctic Wolf MDR (contracted analyst pool)</w:t>
            </w:r>
          </w:p>
        </w:tc>
        <w:tc>
          <w:p>
            <w:pPr>
              <w:pStyle w:val="Compact"/>
              <w:jc w:val="left"/>
            </w:pPr>
            <w:r>
              <w:t xml:space="preserve">First-line monitoring overnight (business hours 18:00–06:00 ET) and weekends. Acknowledges T1/T2 alerts and either closes as benign with documented rationale, or escalates to MCT on-call</w:t>
            </w:r>
          </w:p>
        </w:tc>
      </w:tr>
      <w:tr>
        <w:tc>
          <w:p>
            <w:pPr>
              <w:pStyle w:val="Compact"/>
              <w:jc w:val="left"/>
            </w:pPr>
            <w:r>
              <w:t xml:space="preserve">Security Analyst (P. Iyer)</w:t>
            </w:r>
          </w:p>
        </w:tc>
        <w:tc>
          <w:p>
            <w:pPr>
              <w:pStyle w:val="Compact"/>
              <w:jc w:val="left"/>
            </w:pPr>
            <w:r>
              <w:t xml:space="preserve">Tier-1 triage during business hours; daily SIEM pipeline review; phishing-report queue; primary triage owner</w:t>
            </w:r>
          </w:p>
        </w:tc>
      </w:tr>
      <w:tr>
        <w:tc>
          <w:p>
            <w:pPr>
              <w:pStyle w:val="Compact"/>
              <w:jc w:val="left"/>
            </w:pPr>
            <w:r>
              <w:t xml:space="preserve">Security Engineer (D&amp;R) (M. Tan)</w:t>
            </w:r>
          </w:p>
        </w:tc>
        <w:tc>
          <w:p>
            <w:pPr>
              <w:pStyle w:val="Compact"/>
              <w:jc w:val="left"/>
            </w:pPr>
            <w:r>
              <w:t xml:space="preserve">Tier-2 triage; rule tuning; runbook authoring; on-call backup</w:t>
            </w:r>
          </w:p>
        </w:tc>
      </w:tr>
      <w:tr>
        <w:tc>
          <w:p>
            <w:pPr>
              <w:pStyle w:val="Compact"/>
              <w:jc w:val="left"/>
            </w:pPr>
            <w:r>
              <w:t xml:space="preserve">Security Engineer (Cloud/AppSec) (A. Reyes)</w:t>
            </w:r>
          </w:p>
        </w:tc>
        <w:tc>
          <w:p>
            <w:pPr>
              <w:pStyle w:val="Compact"/>
              <w:jc w:val="left"/>
            </w:pPr>
            <w:r>
              <w:t xml:space="preserve">Tier-2 backup for AWS/EKS-sourced alerts</w:t>
            </w:r>
          </w:p>
        </w:tc>
      </w:tr>
      <w:tr>
        <w:tc>
          <w:p>
            <w:pPr>
              <w:pStyle w:val="Compact"/>
              <w:jc w:val="left"/>
            </w:pPr>
            <w:r>
              <w:t xml:space="preserve">IAM Specialist (B. Olafsson)</w:t>
            </w:r>
          </w:p>
        </w:tc>
        <w:tc>
          <w:p>
            <w:pPr>
              <w:pStyle w:val="Compact"/>
              <w:jc w:val="left"/>
            </w:pPr>
            <w:r>
              <w:t xml:space="preserve">Tier-2 backup for Okta-sourced alerts</w:t>
            </w:r>
          </w:p>
        </w:tc>
      </w:tr>
      <w:tr>
        <w:tc>
          <w:p>
            <w:pPr>
              <w:pStyle w:val="Compact"/>
              <w:jc w:val="left"/>
            </w:pPr>
            <w:r>
              <w:t xml:space="preserve">CISO (S. Yoon)</w:t>
            </w:r>
          </w:p>
        </w:tc>
        <w:tc>
          <w:p>
            <w:pPr>
              <w:pStyle w:val="Compact"/>
              <w:jc w:val="left"/>
            </w:pPr>
            <w:r>
              <w:t xml:space="preserve">Incident declaration; tier-3 escalation receiver; authority to declare SEV severity</w:t>
            </w:r>
          </w:p>
        </w:tc>
      </w:tr>
    </w:tbl>
    <w:p>
      <w:pPr>
        <w:pStyle w:val="BodyText"/>
      </w:pPr>
      <w:r>
        <w:t xml:space="preserve">The standing escalation chain for any alert that warrants escalation beyond triage is</w:t>
      </w:r>
      <w:r>
        <w:t xml:space="preserve"> </w:t>
      </w:r>
      <w:r>
        <w:rPr>
          <w:b/>
        </w:rPr>
        <w:t xml:space="preserve">Iyer -&gt; Tan -&gt; Yoon</w:t>
      </w:r>
      <w:r>
        <w:t xml:space="preserve">.</w:t>
      </w:r>
    </w:p>
    <w:p>
      <w:pPr>
        <w:pStyle w:val="Heading2"/>
      </w:pPr>
      <w:bookmarkStart w:id="24" w:name="Xb6b7595ec3077e2dfb796c8280618b01bd3ad2b"/>
      <w:r>
        <w:t xml:space="preserve">4. Alert Tiers and Triage SLAs</w:t>
      </w:r>
      <w:bookmarkEnd w:id="24"/>
    </w:p>
    <w:p>
      <w:pPr>
        <w:pStyle w:val="Heading3"/>
      </w:pPr>
      <w:bookmarkStart w:id="25" w:name="Xe9314d9174d2906c7fed0dc8f3401d4cd08f5a4"/>
      <w:r>
        <w:t xml:space="preserve">4.1 Tier definitions</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Examples</w:t>
            </w:r>
          </w:p>
        </w:tc>
      </w:tr>
      <w:tr>
        <w:tc>
          <w:p>
            <w:pPr>
              <w:pStyle w:val="Compact"/>
              <w:jc w:val="left"/>
            </w:pPr>
            <w:r>
              <w:rPr>
                <w:b/>
              </w:rPr>
              <w:t xml:space="preserve">T1</w:t>
            </w:r>
          </w:p>
        </w:tc>
        <w:tc>
          <w:p>
            <w:pPr>
              <w:pStyle w:val="Compact"/>
              <w:jc w:val="left"/>
            </w:pPr>
            <w:r>
              <w:t xml:space="preserve">Signals that, if true positive, would indicate compromise of production identity, access to PHI, or impact-class events. Owned 24x7 by Arctic Wolf overnight/weekends and Iyer business hours; Tan as backup</w:t>
            </w:r>
          </w:p>
        </w:tc>
        <w:tc>
          <w:p>
            <w:pPr>
              <w:pStyle w:val="Compact"/>
              <w:jc w:val="left"/>
            </w:pPr>
            <w:r>
              <w:t xml:space="preserve">IA-01, IA-02, IA-03, IA-05, PE-01, PE-02, PE-04, PR-01, PR-02, CA-01, CA-02, LM-01, LM-03, EF-01, EF-02, EF-03, IM-01 through IM-05 (see PLAYBOOK-Detection-Use-Cases)</w:t>
            </w:r>
          </w:p>
        </w:tc>
      </w:tr>
      <w:tr>
        <w:tc>
          <w:p>
            <w:pPr>
              <w:pStyle w:val="Compact"/>
              <w:jc w:val="left"/>
            </w:pPr>
            <w:r>
              <w:rPr>
                <w:b/>
              </w:rPr>
              <w:t xml:space="preserve">T2</w:t>
            </w:r>
          </w:p>
        </w:tc>
        <w:tc>
          <w:p>
            <w:pPr>
              <w:pStyle w:val="Compact"/>
              <w:jc w:val="left"/>
            </w:pPr>
            <w:r>
              <w:t xml:space="preserve">Signals that warrant investigation but are typically benign or recoverable. Owned by D&amp;R engineer (Tan) with Reyes/Olafsson as domain backups</w:t>
            </w:r>
          </w:p>
        </w:tc>
        <w:tc>
          <w:p>
            <w:pPr>
              <w:pStyle w:val="Compact"/>
              <w:jc w:val="left"/>
            </w:pPr>
            <w:r>
              <w:t xml:space="preserve">EX-01, EX-03, EX-04, PE-03, PR-03, CA-04, DI-01, DI-02, DI-03, LM-02, EF-04, EF-05, etc.</w:t>
            </w:r>
          </w:p>
        </w:tc>
      </w:tr>
      <w:tr>
        <w:tc>
          <w:p>
            <w:pPr>
              <w:pStyle w:val="Compact"/>
              <w:jc w:val="left"/>
            </w:pPr>
            <w:r>
              <w:rPr>
                <w:b/>
              </w:rPr>
              <w:t xml:space="preserve">T3</w:t>
            </w:r>
          </w:p>
        </w:tc>
        <w:tc>
          <w:p>
            <w:pPr>
              <w:pStyle w:val="Compact"/>
              <w:jc w:val="left"/>
            </w:pPr>
            <w:r>
              <w:t xml:space="preserve">Hygiene/informational; not paged; reviewed in batch</w:t>
            </w:r>
          </w:p>
        </w:tc>
        <w:tc>
          <w:p>
            <w:pPr>
              <w:pStyle w:val="Compact"/>
              <w:jc w:val="left"/>
            </w:pPr>
            <w:r>
              <w:t xml:space="preserve">Trend reports; coverage gaps; non-actionable advisories</w:t>
            </w:r>
          </w:p>
        </w:tc>
      </w:tr>
    </w:tbl>
    <w:p>
      <w:pPr>
        <w:pStyle w:val="Heading3"/>
      </w:pPr>
      <w:bookmarkStart w:id="26" w:name="X47920d2839d19d4d354da969f472d0926de0463"/>
      <w:r>
        <w:t xml:space="preserve">4.2 Triage SLAs</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Acknowledge</w:t>
            </w:r>
          </w:p>
        </w:tc>
        <w:tc>
          <w:tcPr>
            <w:tcBorders>
              <w:bottom w:val="single"/>
            </w:tcBorders>
            <w:vAlign w:val="bottom"/>
          </w:tcPr>
          <w:p>
            <w:pPr>
              <w:pStyle w:val="Compact"/>
              <w:jc w:val="left"/>
            </w:pPr>
            <w:r>
              <w:t xml:space="preserve">Initial assessment</w:t>
            </w:r>
          </w:p>
        </w:tc>
        <w:tc>
          <w:tcPr>
            <w:tcBorders>
              <w:bottom w:val="single"/>
            </w:tcBorders>
            <w:vAlign w:val="bottom"/>
          </w:tcPr>
          <w:p>
            <w:pPr>
              <w:pStyle w:val="Compact"/>
              <w:jc w:val="left"/>
            </w:pPr>
            <w:r>
              <w:t xml:space="preserve">Closure or escalation</w:t>
            </w:r>
          </w:p>
        </w:tc>
      </w:tr>
      <w:tr>
        <w:tc>
          <w:p>
            <w:pPr>
              <w:pStyle w:val="Compact"/>
              <w:jc w:val="left"/>
            </w:pPr>
            <w:r>
              <w:t xml:space="preserve">T1</w:t>
            </w:r>
          </w:p>
        </w:tc>
        <w:tc>
          <w:p>
            <w:pPr>
              <w:pStyle w:val="Compact"/>
              <w:jc w:val="left"/>
            </w:pPr>
            <w:r>
              <w:t xml:space="preserve">5 minutes</w:t>
            </w:r>
          </w:p>
        </w:tc>
        <w:tc>
          <w:p>
            <w:pPr>
              <w:pStyle w:val="Compact"/>
              <w:jc w:val="left"/>
            </w:pPr>
            <w:r>
              <w:t xml:space="preserve">30 minutes</w:t>
            </w:r>
          </w:p>
        </w:tc>
        <w:tc>
          <w:p>
            <w:pPr>
              <w:pStyle w:val="Compact"/>
              <w:jc w:val="left"/>
            </w:pPr>
            <w:r>
              <w:t xml:space="preserve">2 hours or escalate to incident</w:t>
            </w:r>
          </w:p>
        </w:tc>
      </w:tr>
      <w:tr>
        <w:tc>
          <w:p>
            <w:pPr>
              <w:pStyle w:val="Compact"/>
              <w:jc w:val="left"/>
            </w:pPr>
            <w:r>
              <w:t xml:space="preserve">T2</w:t>
            </w:r>
          </w:p>
        </w:tc>
        <w:tc>
          <w:p>
            <w:pPr>
              <w:pStyle w:val="Compact"/>
              <w:jc w:val="left"/>
            </w:pPr>
            <w:r>
              <w:t xml:space="preserve">30 minutes</w:t>
            </w:r>
          </w:p>
        </w:tc>
        <w:tc>
          <w:p>
            <w:pPr>
              <w:pStyle w:val="Compact"/>
              <w:jc w:val="left"/>
            </w:pPr>
            <w:r>
              <w:t xml:space="preserve">2 hours</w:t>
            </w:r>
          </w:p>
        </w:tc>
        <w:tc>
          <w:p>
            <w:pPr>
              <w:pStyle w:val="Compact"/>
              <w:jc w:val="left"/>
            </w:pPr>
            <w:r>
              <w:t xml:space="preserve">1 business day</w:t>
            </w:r>
          </w:p>
        </w:tc>
      </w:tr>
      <w:tr>
        <w:tc>
          <w:p>
            <w:pPr>
              <w:pStyle w:val="Compact"/>
              <w:jc w:val="left"/>
            </w:pPr>
            <w:r>
              <w:t xml:space="preserve">T3</w:t>
            </w:r>
          </w:p>
        </w:tc>
        <w:tc>
          <w:p>
            <w:pPr>
              <w:pStyle w:val="Compact"/>
              <w:jc w:val="left"/>
            </w:pPr>
            <w:r>
              <w:t xml:space="preserve">Next business day</w:t>
            </w:r>
          </w:p>
        </w:tc>
        <w:tc>
          <w:p>
            <w:pPr>
              <w:pStyle w:val="Compact"/>
              <w:jc w:val="left"/>
            </w:pPr>
            <w:r>
              <w:t xml:space="preserve">Weekly batch</w:t>
            </w:r>
          </w:p>
        </w:tc>
        <w:tc>
          <w:p>
            <w:pPr>
              <w:pStyle w:val="Compact"/>
              <w:jc w:val="left"/>
            </w:pPr>
            <w:r>
              <w:t xml:space="preserve">Tracked in tuning backlog</w:t>
            </w:r>
          </w:p>
        </w:tc>
      </w:tr>
    </w:tbl>
    <w:p>
      <w:pPr>
        <w:pStyle w:val="BodyText"/>
      </w:pPr>
      <w:r>
        <w:t xml:space="preserve">These SLAs are measured by Datadog incident timestamps. The aggregate SLA-attainment KPI is reported quarterly to the Security Steering Committee.</w:t>
      </w:r>
    </w:p>
    <w:p>
      <w:pPr>
        <w:pStyle w:val="Heading3"/>
      </w:pPr>
      <w:bookmarkStart w:id="27" w:name="X8a6c20c65fb535f1ca09d55992e9a85f6590105"/>
      <w:r>
        <w:t xml:space="preserve">4.3 Q1 2026 KPI snapshot</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Q1 2026 actual</w:t>
            </w:r>
          </w:p>
        </w:tc>
        <w:tc>
          <w:tcPr>
            <w:tcBorders>
              <w:bottom w:val="single"/>
            </w:tcBorders>
            <w:vAlign w:val="bottom"/>
          </w:tcPr>
          <w:p>
            <w:pPr>
              <w:pStyle w:val="Compact"/>
              <w:jc w:val="left"/>
            </w:pPr>
            <w:r>
              <w:t xml:space="preserve">Notes</w:t>
            </w:r>
          </w:p>
        </w:tc>
      </w:tr>
      <w:tr>
        <w:tc>
          <w:p>
            <w:pPr>
              <w:pStyle w:val="Compact"/>
              <w:jc w:val="left"/>
            </w:pPr>
            <w:r>
              <w:t xml:space="preserve">Time-to-Detect (TTD)</w:t>
            </w:r>
          </w:p>
        </w:tc>
        <w:tc>
          <w:p>
            <w:pPr>
              <w:pStyle w:val="Compact"/>
              <w:jc w:val="left"/>
            </w:pPr>
            <w:r>
              <w:t xml:space="preserve">&lt; 10 minutes</w:t>
            </w:r>
          </w:p>
        </w:tc>
        <w:tc>
          <w:p>
            <w:pPr>
              <w:pStyle w:val="Compact"/>
              <w:jc w:val="left"/>
            </w:pPr>
            <w:r>
              <w:t xml:space="preserve">8 minutes</w:t>
            </w:r>
          </w:p>
        </w:tc>
        <w:tc>
          <w:p>
            <w:pPr>
              <w:pStyle w:val="Compact"/>
              <w:jc w:val="left"/>
            </w:pPr>
            <w:r>
              <w:t xml:space="preserve">On target</w:t>
            </w:r>
          </w:p>
        </w:tc>
      </w:tr>
      <w:tr>
        <w:tc>
          <w:p>
            <w:pPr>
              <w:pStyle w:val="Compact"/>
              <w:jc w:val="left"/>
            </w:pPr>
            <w:r>
              <w:t xml:space="preserve">Time-to-Investigate (TTI)</w:t>
            </w:r>
          </w:p>
        </w:tc>
        <w:tc>
          <w:p>
            <w:pPr>
              <w:pStyle w:val="Compact"/>
              <w:jc w:val="left"/>
            </w:pPr>
            <w:r>
              <w:t xml:space="preserve">&lt; 2 hours</w:t>
            </w:r>
          </w:p>
        </w:tc>
        <w:tc>
          <w:p>
            <w:pPr>
              <w:pStyle w:val="Compact"/>
              <w:jc w:val="left"/>
            </w:pPr>
            <w:r>
              <w:t xml:space="preserve">1.6 hours</w:t>
            </w:r>
          </w:p>
        </w:tc>
        <w:tc>
          <w:p>
            <w:pPr>
              <w:pStyle w:val="Compact"/>
              <w:jc w:val="left"/>
            </w:pPr>
            <w:r>
              <w:t xml:space="preserve">On target</w:t>
            </w:r>
          </w:p>
        </w:tc>
      </w:tr>
      <w:tr>
        <w:tc>
          <w:p>
            <w:pPr>
              <w:pStyle w:val="Compact"/>
              <w:jc w:val="left"/>
            </w:pPr>
            <w:r>
              <w:t xml:space="preserve">Time-to-Respond, critical (TTR-crit)</w:t>
            </w:r>
          </w:p>
        </w:tc>
        <w:tc>
          <w:p>
            <w:pPr>
              <w:pStyle w:val="Compact"/>
              <w:jc w:val="left"/>
            </w:pPr>
            <w:r>
              <w:t xml:space="preserve">varies by playbook</w:t>
            </w:r>
          </w:p>
        </w:tc>
        <w:tc>
          <w:p>
            <w:pPr>
              <w:pStyle w:val="Compact"/>
              <w:jc w:val="left"/>
            </w:pPr>
            <w:r>
              <w:t xml:space="preserve">18 hours</w:t>
            </w:r>
          </w:p>
        </w:tc>
        <w:tc>
          <w:p>
            <w:pPr>
              <w:pStyle w:val="Compact"/>
              <w:jc w:val="left"/>
            </w:pPr>
            <w:r>
              <w:t xml:space="preserve">Above target on average; one outlier this quarter — see post-incident notes</w:t>
            </w:r>
          </w:p>
        </w:tc>
      </w:tr>
      <w:tr>
        <w:tc>
          <w:p>
            <w:pPr>
              <w:pStyle w:val="Compact"/>
              <w:jc w:val="left"/>
            </w:pPr>
            <w:r>
              <w:t xml:space="preserve">Tier-1 alert false-positive rate</w:t>
            </w:r>
          </w:p>
        </w:tc>
        <w:tc>
          <w:p>
            <w:pPr>
              <w:pStyle w:val="Compact"/>
              <w:jc w:val="left"/>
            </w:pPr>
            <w:r>
              <w:t xml:space="preserve">&lt; 10% (FY26 target)</w:t>
            </w:r>
          </w:p>
        </w:tc>
        <w:tc>
          <w:p>
            <w:pPr>
              <w:pStyle w:val="Compact"/>
              <w:jc w:val="left"/>
            </w:pPr>
            <w:r>
              <w:t xml:space="preserve">~28%</w:t>
            </w:r>
          </w:p>
        </w:tc>
        <w:tc>
          <w:p>
            <w:pPr>
              <w:pStyle w:val="Compact"/>
              <w:jc w:val="left"/>
            </w:pPr>
            <w:r>
              <w:rPr>
                <w:b/>
              </w:rPr>
              <w:t xml:space="preserve">Acknowledged debt — RISK R3.</w:t>
            </w:r>
            <w:r>
              <w:t xml:space="preserve"> </w:t>
            </w:r>
            <w:r>
              <w:t xml:space="preserve">Q1 2026 tuning sprint underway</w:t>
            </w:r>
          </w:p>
        </w:tc>
      </w:tr>
      <w:tr>
        <w:tc>
          <w:p>
            <w:pPr>
              <w:pStyle w:val="Compact"/>
              <w:jc w:val="left"/>
            </w:pPr>
            <w:r>
              <w:t xml:space="preserve">T1 ack within SLA</w:t>
            </w:r>
          </w:p>
        </w:tc>
        <w:tc>
          <w:p>
            <w:pPr>
              <w:pStyle w:val="Compact"/>
              <w:jc w:val="left"/>
            </w:pPr>
            <w:r>
              <w:t xml:space="preserve">&gt; 95%</w:t>
            </w:r>
          </w:p>
        </w:tc>
        <w:tc>
          <w:p>
            <w:pPr>
              <w:pStyle w:val="Compact"/>
              <w:jc w:val="left"/>
            </w:pPr>
            <w:r>
              <w:t xml:space="preserve">96.4%</w:t>
            </w:r>
          </w:p>
        </w:tc>
        <w:tc>
          <w:p>
            <w:pPr>
              <w:pStyle w:val="Compact"/>
              <w:jc w:val="left"/>
            </w:pPr>
            <w:r>
              <w:t xml:space="preserve">On target</w:t>
            </w:r>
          </w:p>
        </w:tc>
      </w:tr>
      <w:tr>
        <w:tc>
          <w:p>
            <w:pPr>
              <w:pStyle w:val="Compact"/>
              <w:jc w:val="left"/>
            </w:pPr>
            <w:r>
              <w:t xml:space="preserve">T2 ack within SLA</w:t>
            </w:r>
          </w:p>
        </w:tc>
        <w:tc>
          <w:p>
            <w:pPr>
              <w:pStyle w:val="Compact"/>
              <w:jc w:val="left"/>
            </w:pPr>
            <w:r>
              <w:t xml:space="preserve">&gt; 90%</w:t>
            </w:r>
          </w:p>
        </w:tc>
        <w:tc>
          <w:p>
            <w:pPr>
              <w:pStyle w:val="Compact"/>
              <w:jc w:val="left"/>
            </w:pPr>
            <w:r>
              <w:t xml:space="preserve">91.8%</w:t>
            </w:r>
          </w:p>
        </w:tc>
        <w:tc>
          <w:p>
            <w:pPr>
              <w:pStyle w:val="Compact"/>
              <w:jc w:val="left"/>
            </w:pPr>
            <w:r>
              <w:t xml:space="preserve">On target</w:t>
            </w:r>
          </w:p>
        </w:tc>
      </w:tr>
    </w:tbl>
    <w:p>
      <w:pPr>
        <w:pStyle w:val="Heading2"/>
      </w:pPr>
      <w:bookmarkStart w:id="28" w:name="X533f8bd5b28b30dc5e8a7e7bbfdfa6849215b9d"/>
      <w:r>
        <w:t xml:space="preserve">5. Triage Workflow</w:t>
      </w:r>
      <w:bookmarkEnd w:id="28"/>
    </w:p>
    <w:p>
      <w:pPr>
        <w:pStyle w:val="Heading3"/>
      </w:pPr>
      <w:bookmarkStart w:id="29" w:name="Xb28de656b8697d4f0d33e8bc06e1a07c5907ea0"/>
      <w:r>
        <w:t xml:space="preserve">5.1 Receipt</w:t>
      </w:r>
      <w:bookmarkEnd w:id="29"/>
    </w:p>
    <w:p>
      <w:pPr>
        <w:pStyle w:val="FirstParagraph"/>
      </w:pPr>
      <w:r>
        <w:t xml:space="preserve">Alerts arrive via:</w:t>
      </w:r>
    </w:p>
    <w:p>
      <w:pPr>
        <w:numPr>
          <w:ilvl w:val="0"/>
          <w:numId w:val="1001"/>
        </w:numPr>
        <w:pStyle w:val="Compact"/>
      </w:pPr>
      <w:r>
        <w:t xml:space="preserve">Datadog Cloud SIEM Signals -&gt; Datadog Incidents (auto-paged for T1; queued for T2)</w:t>
      </w:r>
    </w:p>
    <w:p>
      <w:pPr>
        <w:numPr>
          <w:ilvl w:val="0"/>
          <w:numId w:val="1001"/>
        </w:numPr>
        <w:pStyle w:val="Compact"/>
      </w:pPr>
      <w:r>
        <w:t xml:space="preserve">CrowdStrike Falcon detections -&gt; Falcon console + Datadog mirror</w:t>
      </w:r>
    </w:p>
    <w:p>
      <w:pPr>
        <w:numPr>
          <w:ilvl w:val="0"/>
          <w:numId w:val="1001"/>
        </w:numPr>
        <w:pStyle w:val="Compact"/>
      </w:pPr>
      <w:r>
        <w:t xml:space="preserve">Arctic Wolf alert escalation -&gt; email + PagerDuty + Datadog incident note created by Arctic Wolf integration</w:t>
      </w:r>
    </w:p>
    <w:p>
      <w:pPr>
        <w:numPr>
          <w:ilvl w:val="0"/>
          <w:numId w:val="1001"/>
        </w:numPr>
        <w:pStyle w:val="Compact"/>
      </w:pPr>
      <w:r>
        <w:t xml:space="preserve">Phishing reports from</w:t>
      </w:r>
      <w:r>
        <w:t xml:space="preserve"> </w:t>
      </w:r>
      <w:r>
        <w:rPr>
          <w:rStyle w:val="VerbatimChar"/>
        </w:rPr>
        <w:t xml:space="preserve">report@meridiancare.com</w:t>
      </w:r>
      <w:r>
        <w:t xml:space="preserve"> </w:t>
      </w:r>
      <w:r>
        <w:t xml:space="preserve">mailbox routed via M365 reporting add-in</w:t>
      </w:r>
    </w:p>
    <w:p>
      <w:pPr>
        <w:pStyle w:val="FirstParagraph"/>
      </w:pPr>
      <w:r>
        <w:t xml:space="preserve">PagerDuty pages on-call for T1; T2 enters the queue with a 30-minute SLA timer.</w:t>
      </w:r>
    </w:p>
    <w:p>
      <w:pPr>
        <w:pStyle w:val="Heading3"/>
      </w:pPr>
      <w:bookmarkStart w:id="30" w:name="Xffb4dcff887df12952e631f682ac6482247e875"/>
      <w:r>
        <w:t xml:space="preserve">5.2 Acknowledge</w:t>
      </w:r>
      <w:bookmarkEnd w:id="30"/>
    </w:p>
    <w:p>
      <w:pPr>
        <w:pStyle w:val="FirstParagraph"/>
      </w:pPr>
      <w:r>
        <w:t xml:space="preserve">The on-call analyst (Iyer business hours; Arctic Wolf otherwise) acknowledges the alert in PagerDuty and opens / updates the corresponding Datadog incident.</w:t>
      </w:r>
    </w:p>
    <w:p>
      <w:pPr>
        <w:pStyle w:val="Heading3"/>
      </w:pPr>
      <w:bookmarkStart w:id="31" w:name="X9e93e840628513a94f09c3926e224d33f03318c"/>
      <w:r>
        <w:t xml:space="preserve">5.3 Enrichment</w:t>
      </w:r>
      <w:bookmarkEnd w:id="31"/>
    </w:p>
    <w:p>
      <w:pPr>
        <w:pStyle w:val="FirstParagraph"/>
      </w:pPr>
      <w:r>
        <w:t xml:space="preserve">Standard enrichment performed before assessment:</w:t>
      </w:r>
    </w:p>
    <w:p>
      <w:pPr>
        <w:numPr>
          <w:ilvl w:val="0"/>
          <w:numId w:val="1002"/>
        </w:numPr>
        <w:pStyle w:val="Compact"/>
      </w:pPr>
      <w:r>
        <w:rPr>
          <w:b/>
        </w:rPr>
        <w:t xml:space="preserve">Identity context:</w:t>
      </w:r>
      <w:r>
        <w:t xml:space="preserve"> </w:t>
      </w:r>
      <w:r>
        <w:t xml:space="preserve">Pull user profile from Okta (department, manager, last login geography, MFA factors).</w:t>
      </w:r>
    </w:p>
    <w:p>
      <w:pPr>
        <w:numPr>
          <w:ilvl w:val="0"/>
          <w:numId w:val="1002"/>
        </w:numPr>
        <w:pStyle w:val="Compact"/>
      </w:pPr>
      <w:r>
        <w:rPr>
          <w:b/>
        </w:rPr>
        <w:t xml:space="preserve">Asset context:</w:t>
      </w:r>
      <w:r>
        <w:t xml:space="preserve"> </w:t>
      </w:r>
      <w:r>
        <w:t xml:space="preserve">Pull host/container metadata from Wiz, CrowdStrike, EKS labels.</w:t>
      </w:r>
    </w:p>
    <w:p>
      <w:pPr>
        <w:numPr>
          <w:ilvl w:val="0"/>
          <w:numId w:val="1002"/>
        </w:numPr>
        <w:pStyle w:val="Compact"/>
      </w:pPr>
      <w:r>
        <w:rPr>
          <w:b/>
        </w:rPr>
        <w:t xml:space="preserve">History:</w:t>
      </w:r>
      <w:r>
        <w:t xml:space="preserve"> </w:t>
      </w:r>
      <w:r>
        <w:t xml:space="preserve">Datadog 30-day query for related signals on the same actor / asset / IP.</w:t>
      </w:r>
    </w:p>
    <w:p>
      <w:pPr>
        <w:numPr>
          <w:ilvl w:val="0"/>
          <w:numId w:val="1002"/>
        </w:numPr>
        <w:pStyle w:val="Compact"/>
      </w:pPr>
      <w:r>
        <w:rPr>
          <w:b/>
        </w:rPr>
        <w:t xml:space="preserve">Threat-intel cross-reference:</w:t>
      </w:r>
      <w:r>
        <w:t xml:space="preserve"> </w:t>
      </w:r>
      <w:r>
        <w:t xml:space="preserve">CrowdStrike Falcon Intelligence and AlienVault OTX feeds for IP/domain/hash IOCs.</w:t>
      </w:r>
    </w:p>
    <w:p>
      <w:pPr>
        <w:numPr>
          <w:ilvl w:val="0"/>
          <w:numId w:val="1002"/>
        </w:numPr>
        <w:pStyle w:val="Compact"/>
      </w:pPr>
      <w:r>
        <w:rPr>
          <w:b/>
        </w:rPr>
        <w:t xml:space="preserve">Change context:</w:t>
      </w:r>
      <w:r>
        <w:t xml:space="preserve"> </w:t>
      </w:r>
      <w:r>
        <w:t xml:space="preserve">Cross-reference ServiceNow change records and GitHub recent commits for legitimate explanation.</w:t>
      </w:r>
    </w:p>
    <w:p>
      <w:pPr>
        <w:numPr>
          <w:ilvl w:val="0"/>
          <w:numId w:val="1002"/>
        </w:numPr>
        <w:pStyle w:val="Compact"/>
      </w:pPr>
      <w:r>
        <w:rPr>
          <w:b/>
        </w:rPr>
        <w:t xml:space="preserve">Known-good filters:</w:t>
      </w:r>
      <w:r>
        <w:t xml:space="preserve"> </w:t>
      </w:r>
      <w:r>
        <w:t xml:space="preserve">Apply documented exclusions (synthetic monitoring sources, known build agents, scheduled workflows) before judging.</w:t>
      </w:r>
    </w:p>
    <w:p>
      <w:pPr>
        <w:pStyle w:val="FirstParagraph"/>
      </w:pPr>
      <w:r>
        <w:t xml:space="preserve">A Datadog Workbench Notebook template (</w:t>
      </w:r>
      <w:r>
        <w:rPr>
          <w:rStyle w:val="VerbatimChar"/>
        </w:rPr>
        <w:t xml:space="preserve">triage-enrichment-template</w:t>
      </w:r>
      <w:r>
        <w:t xml:space="preserve">) is launched from each T1/T2 incident to capture this in a consistent format.</w:t>
      </w:r>
    </w:p>
    <w:p>
      <w:pPr>
        <w:pStyle w:val="Heading3"/>
      </w:pPr>
      <w:bookmarkStart w:id="32" w:name="X159d1155c0f340099d35aebf412139becb27aa9"/>
      <w:r>
        <w:t xml:space="preserve">5.4 Assessment</w:t>
      </w:r>
      <w:bookmarkEnd w:id="32"/>
    </w:p>
    <w:p>
      <w:pPr>
        <w:pStyle w:val="FirstParagraph"/>
      </w:pPr>
      <w:r>
        <w:t xml:space="preserve">The triage owner determines one of:</w:t>
      </w:r>
    </w:p>
    <w:p>
      <w:pPr>
        <w:numPr>
          <w:ilvl w:val="0"/>
          <w:numId w:val="1003"/>
        </w:numPr>
        <w:pStyle w:val="Compact"/>
      </w:pPr>
      <w:r>
        <w:rPr>
          <w:b/>
        </w:rPr>
        <w:t xml:space="preserve">Benign — known cause.</w:t>
      </w:r>
      <w:r>
        <w:t xml:space="preserve"> </w:t>
      </w:r>
      <w:r>
        <w:t xml:space="preserve">Closed with documented rationale. If recurring, file a tuning request (see §7).</w:t>
      </w:r>
    </w:p>
    <w:p>
      <w:pPr>
        <w:numPr>
          <w:ilvl w:val="0"/>
          <w:numId w:val="1003"/>
        </w:numPr>
        <w:pStyle w:val="Compact"/>
      </w:pPr>
      <w:r>
        <w:rPr>
          <w:b/>
        </w:rPr>
        <w:t xml:space="preserve">Benign — unknown cause but verified safe.</w:t>
      </w:r>
      <w:r>
        <w:t xml:space="preserve"> </w:t>
      </w:r>
      <w:r>
        <w:t xml:space="preserve">Closed with rationale; flag for monitoring.</w:t>
      </w:r>
    </w:p>
    <w:p>
      <w:pPr>
        <w:numPr>
          <w:ilvl w:val="0"/>
          <w:numId w:val="1003"/>
        </w:numPr>
        <w:pStyle w:val="Compact"/>
      </w:pPr>
      <w:r>
        <w:rPr>
          <w:b/>
        </w:rPr>
        <w:t xml:space="preserve">Indeterminate — needs deeper investigation.</w:t>
      </w:r>
      <w:r>
        <w:t xml:space="preserve"> </w:t>
      </w:r>
      <w:r>
        <w:t xml:space="preserve">Escalate per §6 if T1/T2 SLA at risk.</w:t>
      </w:r>
    </w:p>
    <w:p>
      <w:pPr>
        <w:numPr>
          <w:ilvl w:val="0"/>
          <w:numId w:val="1003"/>
        </w:numPr>
        <w:pStyle w:val="Compact"/>
      </w:pPr>
      <w:r>
        <w:rPr>
          <w:b/>
        </w:rPr>
        <w:t xml:space="preserve">Suspected true positive.</w:t>
      </w:r>
      <w:r>
        <w:t xml:space="preserve"> </w:t>
      </w:r>
      <w:r>
        <w:t xml:space="preserve">Escalate per §6 immediately.</w:t>
      </w:r>
    </w:p>
    <w:p>
      <w:pPr>
        <w:pStyle w:val="Heading3"/>
      </w:pPr>
      <w:bookmarkStart w:id="33" w:name="X57dbde32d8dbab528ec91ff2d1886fa375c048f"/>
      <w:r>
        <w:t xml:space="preserve">5.5 Documentation</w:t>
      </w:r>
      <w:bookmarkEnd w:id="33"/>
    </w:p>
    <w:p>
      <w:pPr>
        <w:pStyle w:val="FirstParagraph"/>
      </w:pPr>
      <w:r>
        <w:rPr>
          <w:b/>
        </w:rPr>
        <w:t xml:space="preserve">Every triage produces a Datadog incident note</w:t>
      </w:r>
      <w:r>
        <w:t xml:space="preserve">, regardless of disposition. The note includes:</w:t>
      </w:r>
    </w:p>
    <w:p>
      <w:pPr>
        <w:numPr>
          <w:ilvl w:val="0"/>
          <w:numId w:val="1004"/>
        </w:numPr>
        <w:pStyle w:val="Compact"/>
      </w:pPr>
      <w:r>
        <w:t xml:space="preserve">Alert source and rule ID</w:t>
      </w:r>
    </w:p>
    <w:p>
      <w:pPr>
        <w:numPr>
          <w:ilvl w:val="0"/>
          <w:numId w:val="1004"/>
        </w:numPr>
        <w:pStyle w:val="Compact"/>
      </w:pPr>
      <w:r>
        <w:t xml:space="preserve">Timeline (received, acknowledged, assessed, closed)</w:t>
      </w:r>
    </w:p>
    <w:p>
      <w:pPr>
        <w:numPr>
          <w:ilvl w:val="0"/>
          <w:numId w:val="1004"/>
        </w:numPr>
        <w:pStyle w:val="Compact"/>
      </w:pPr>
      <w:r>
        <w:t xml:space="preserve">Enrichment artifacts (link to notebook)</w:t>
      </w:r>
    </w:p>
    <w:p>
      <w:pPr>
        <w:numPr>
          <w:ilvl w:val="0"/>
          <w:numId w:val="1004"/>
        </w:numPr>
        <w:pStyle w:val="Compact"/>
      </w:pPr>
      <w:r>
        <w:t xml:space="preserve">Disposition and rationale</w:t>
      </w:r>
    </w:p>
    <w:p>
      <w:pPr>
        <w:numPr>
          <w:ilvl w:val="0"/>
          <w:numId w:val="1004"/>
        </w:numPr>
        <w:pStyle w:val="Compact"/>
      </w:pPr>
      <w:r>
        <w:t xml:space="preserve">Tuning recommendation (if any)</w:t>
      </w:r>
    </w:p>
    <w:p>
      <w:pPr>
        <w:numPr>
          <w:ilvl w:val="0"/>
          <w:numId w:val="1004"/>
        </w:numPr>
        <w:pStyle w:val="Compact"/>
      </w:pPr>
      <w:r>
        <w:t xml:space="preserve">Reviewer (second pair of eyes for T1)</w:t>
      </w:r>
    </w:p>
    <w:p>
      <w:pPr>
        <w:pStyle w:val="FirstParagraph"/>
      </w:pPr>
      <w:r>
        <w:t xml:space="preserve">Datadog incident notes are exported nightly to the cold archive (per STD-LOG-01) for evidence retention.</w:t>
      </w:r>
    </w:p>
    <w:p>
      <w:pPr>
        <w:pStyle w:val="Heading2"/>
      </w:pPr>
      <w:bookmarkStart w:id="34" w:name="Xdc34a4ae8250894267c1d31ef46fac938229da9"/>
      <w:r>
        <w:t xml:space="preserve">6. Escalation</w:t>
      </w:r>
      <w:bookmarkEnd w:id="34"/>
    </w:p>
    <w:p>
      <w:pPr>
        <w:pStyle w:val="Heading3"/>
      </w:pPr>
      <w:bookmarkStart w:id="35" w:name="X942e3d505fef29a5ecb47cc356a8e300e8bb617"/>
      <w:r>
        <w:t xml:space="preserve">6.1 Standing chain</w:t>
      </w:r>
      <w:bookmarkEnd w:id="35"/>
    </w:p>
    <w:p>
      <w:pPr>
        <w:pStyle w:val="FirstParagraph"/>
      </w:pPr>
      <w:r>
        <w:t xml:space="preserve">For any alert that warrants escalation beyond triage:</w:t>
      </w:r>
    </w:p>
    <w:p>
      <w:pPr>
        <w:pStyle w:val="BodyText"/>
      </w:pPr>
      <w:r>
        <w:rPr>
          <w:rStyle w:val="VerbatimChar"/>
        </w:rPr>
        <w:t xml:space="preserve">Security Analyst (Iyer) -&gt; Security Engineer D&amp;R (Tan) -&gt; CISO (Yoon)</w:t>
      </w:r>
    </w:p>
    <w:p>
      <w:pPr>
        <w:pStyle w:val="BodyText"/>
      </w:pPr>
      <w:r>
        <w:t xml:space="preserve">Outside business hours, Arctic Wolf escalates directly to the on-call MCT engineer via PagerDuty, who then engages Tan and Yoon as needed.</w:t>
      </w:r>
    </w:p>
    <w:p>
      <w:pPr>
        <w:pStyle w:val="Heading3"/>
      </w:pPr>
      <w:bookmarkStart w:id="36" w:name="X61495e7c93638329fd6b80c7e5e867d0fdd396c"/>
      <w:r>
        <w:t xml:space="preserve">6.2 When to escalate</w:t>
      </w:r>
      <w:bookmarkEnd w:id="36"/>
    </w:p>
    <w:p>
      <w:pPr>
        <w:pStyle w:val="FirstParagraph"/>
      </w:pPr>
      <w:r>
        <w:t xml:space="preserve">Escalate immediately when any of the following is true:</w:t>
      </w:r>
    </w:p>
    <w:p>
      <w:pPr>
        <w:numPr>
          <w:ilvl w:val="0"/>
          <w:numId w:val="1005"/>
        </w:numPr>
        <w:pStyle w:val="Compact"/>
      </w:pPr>
      <w:r>
        <w:t xml:space="preserve">Suspected compromise of a production identity, secret, or service account.</w:t>
      </w:r>
    </w:p>
    <w:p>
      <w:pPr>
        <w:numPr>
          <w:ilvl w:val="0"/>
          <w:numId w:val="1005"/>
        </w:numPr>
        <w:pStyle w:val="Compact"/>
      </w:pPr>
      <w:r>
        <w:t xml:space="preserve">Confirmed unauthorized access to PHI or to a system that processes PHI.</w:t>
      </w:r>
    </w:p>
    <w:p>
      <w:pPr>
        <w:numPr>
          <w:ilvl w:val="0"/>
          <w:numId w:val="1005"/>
        </w:numPr>
        <w:pStyle w:val="Compact"/>
      </w:pPr>
      <w:r>
        <w:t xml:space="preserve">Use case classified as Impact (IM-*) firing as anything other than a known scheduled action.</w:t>
      </w:r>
    </w:p>
    <w:p>
      <w:pPr>
        <w:numPr>
          <w:ilvl w:val="0"/>
          <w:numId w:val="1005"/>
        </w:numPr>
        <w:pStyle w:val="Compact"/>
      </w:pPr>
      <w:r>
        <w:t xml:space="preserve">Falcon ransomware / encryption behavior detection.</w:t>
      </w:r>
    </w:p>
    <w:p>
      <w:pPr>
        <w:numPr>
          <w:ilvl w:val="0"/>
          <w:numId w:val="1005"/>
        </w:numPr>
        <w:pStyle w:val="Compact"/>
      </w:pPr>
      <w:r>
        <w:t xml:space="preserve">Mass deletion or KMS key disable detected.</w:t>
      </w:r>
    </w:p>
    <w:p>
      <w:pPr>
        <w:numPr>
          <w:ilvl w:val="0"/>
          <w:numId w:val="1005"/>
        </w:numPr>
        <w:pStyle w:val="Compact"/>
      </w:pPr>
      <w:r>
        <w:t xml:space="preserve">Alert that cannot be resolved within the T1 SLA window.</w:t>
      </w:r>
    </w:p>
    <w:p>
      <w:pPr>
        <w:pStyle w:val="FirstParagraph"/>
      </w:pPr>
      <w:r>
        <w:t xml:space="preserve">The CISO has authority under POL-001 §3.4 and PLN-IR-01 to declare an incident and assign a severity.</w:t>
      </w:r>
    </w:p>
    <w:p>
      <w:pPr>
        <w:pStyle w:val="Heading3"/>
      </w:pPr>
      <w:bookmarkStart w:id="37" w:name="Xd410a09b05d244041ca27f626bfc4358aac85d6"/>
      <w:r>
        <w:t xml:space="preserve">6.3 Escalation to incident</w:t>
      </w:r>
      <w:bookmarkEnd w:id="37"/>
    </w:p>
    <w:p>
      <w:pPr>
        <w:pStyle w:val="FirstParagraph"/>
      </w:pPr>
      <w:r>
        <w:t xml:space="preserve">When triage transitions to incident, the Datadog incident is converted to an IR incident, and PROC-IR-* runbooks govern from that point. The triage incident note is preserved as the initial record.</w:t>
      </w:r>
    </w:p>
    <w:p>
      <w:pPr>
        <w:pStyle w:val="Heading2"/>
      </w:pPr>
      <w:bookmarkStart w:id="38" w:name="Xc94f82aec8cc313a90a247a1329f33af9cf4c2f"/>
      <w:r>
        <w:t xml:space="preserve">7. Tuning Workflow</w:t>
      </w:r>
      <w:bookmarkEnd w:id="38"/>
    </w:p>
    <w:p>
      <w:pPr>
        <w:pStyle w:val="Heading3"/>
      </w:pPr>
      <w:bookmarkStart w:id="39" w:name="X14621c1504002e886866a037c467308bcb27b75"/>
      <w:r>
        <w:t xml:space="preserve">7.1 FP feedback loop</w:t>
      </w:r>
      <w:bookmarkEnd w:id="39"/>
    </w:p>
    <w:p>
      <w:pPr>
        <w:pStyle w:val="FirstParagraph"/>
      </w:pPr>
      <w:r>
        <w:t xml:space="preserve">Every closure marked "Benign — known cause" emits a structured tuning record (Datadog tag</w:t>
      </w:r>
      <w:r>
        <w:t xml:space="preserve"> </w:t>
      </w:r>
      <w:r>
        <w:rPr>
          <w:rStyle w:val="VerbatimChar"/>
        </w:rPr>
        <w:t xml:space="preserve">tuning-candidate:true</w:t>
      </w:r>
      <w:r>
        <w:t xml:space="preserve">). Tan triages the tuning queue weekly and chooses one of:</w:t>
      </w:r>
    </w:p>
    <w:p>
      <w:pPr>
        <w:numPr>
          <w:ilvl w:val="0"/>
          <w:numId w:val="1006"/>
        </w:numPr>
        <w:pStyle w:val="Compact"/>
      </w:pPr>
      <w:r>
        <w:t xml:space="preserve">Adjust the rule (threshold, filter, exclusion).</w:t>
      </w:r>
    </w:p>
    <w:p>
      <w:pPr>
        <w:numPr>
          <w:ilvl w:val="0"/>
          <w:numId w:val="1006"/>
        </w:numPr>
        <w:pStyle w:val="Compact"/>
      </w:pPr>
      <w:r>
        <w:t xml:space="preserve">Add to the documented exclusion list (tracked in</w:t>
      </w:r>
      <w:r>
        <w:t xml:space="preserve"> </w:t>
      </w:r>
      <w:r>
        <w:rPr>
          <w:rStyle w:val="VerbatimChar"/>
        </w:rPr>
        <w:t xml:space="preserve">mct-detection-content</w:t>
      </w:r>
      <w:r>
        <w:t xml:space="preserve">).</w:t>
      </w:r>
    </w:p>
    <w:p>
      <w:pPr>
        <w:numPr>
          <w:ilvl w:val="0"/>
          <w:numId w:val="1006"/>
        </w:numPr>
        <w:pStyle w:val="Compact"/>
      </w:pPr>
      <w:r>
        <w:t xml:space="preserve">Mark as accepted noise pending other work (e.g., legacy ETL decommission).</w:t>
      </w:r>
    </w:p>
    <w:p>
      <w:pPr>
        <w:numPr>
          <w:ilvl w:val="0"/>
          <w:numId w:val="1006"/>
        </w:numPr>
        <w:pStyle w:val="Compact"/>
      </w:pPr>
      <w:r>
        <w:t xml:space="preserve">Promote to backlog for re-architecting the use case.</w:t>
      </w:r>
    </w:p>
    <w:p>
      <w:pPr>
        <w:pStyle w:val="FirstParagraph"/>
      </w:pPr>
      <w:r>
        <w:t xml:space="preserve">All rule changes follow the four-eyes review requirement and are tested in observation mode before redeployment per PLAYBOOK-Detection-Use-Cases §6.</w:t>
      </w:r>
    </w:p>
    <w:p>
      <w:pPr>
        <w:pStyle w:val="Heading3"/>
      </w:pPr>
      <w:bookmarkStart w:id="40" w:name="X65fd160664aa2e0c2f2402d0d7c9f9256c66936"/>
      <w:r>
        <w:t xml:space="preserve">7.2 Q1 2026 alert tuning sprint</w:t>
      </w:r>
      <w:bookmarkEnd w:id="40"/>
    </w:p>
    <w:p>
      <w:pPr>
        <w:pStyle w:val="FirstParagraph"/>
      </w:pPr>
      <w:r>
        <w:t xml:space="preserve">In response to the ~28% tier-1 false-positive rate (RISK R3), MCT has approved a focused tuning sprint for Q1 2026:</w:t>
      </w:r>
    </w:p>
    <w:p>
      <w:pPr>
        <w:numPr>
          <w:ilvl w:val="0"/>
          <w:numId w:val="1007"/>
        </w:numPr>
        <w:pStyle w:val="Compact"/>
      </w:pPr>
      <w:r>
        <w:rPr>
          <w:b/>
        </w:rPr>
        <w:t xml:space="preserve">Owner:</w:t>
      </w:r>
      <w:r>
        <w:t xml:space="preserve"> </w:t>
      </w:r>
      <w:r>
        <w:t xml:space="preserve">M. Tan</w:t>
      </w:r>
    </w:p>
    <w:p>
      <w:pPr>
        <w:numPr>
          <w:ilvl w:val="0"/>
          <w:numId w:val="1007"/>
        </w:numPr>
        <w:pStyle w:val="Compact"/>
      </w:pPr>
      <w:r>
        <w:rPr>
          <w:b/>
        </w:rPr>
        <w:t xml:space="preserve">Allocation:</w:t>
      </w:r>
      <w:r>
        <w:t xml:space="preserve"> </w:t>
      </w:r>
      <w:r>
        <w:t xml:space="preserve">50% of Tan's time for the quarter</w:t>
      </w:r>
    </w:p>
    <w:p>
      <w:pPr>
        <w:numPr>
          <w:ilvl w:val="0"/>
          <w:numId w:val="1007"/>
        </w:numPr>
        <w:pStyle w:val="Compact"/>
      </w:pPr>
      <w:r>
        <w:rPr>
          <w:b/>
        </w:rPr>
        <w:t xml:space="preserve">Targets:</w:t>
      </w:r>
      <w:r>
        <w:t xml:space="preserve"> </w:t>
      </w:r>
      <w:r>
        <w:t xml:space="preserve">IA-04 (synthetic traffic), DI-02 (Snowflake analyst tooling), CA-04 (legacy build agent — retire on decom), EX-04 (Snowflake auto-scale), PR-03 (CI/CD churn)</w:t>
      </w:r>
    </w:p>
    <w:p>
      <w:pPr>
        <w:numPr>
          <w:ilvl w:val="0"/>
          <w:numId w:val="1007"/>
        </w:numPr>
        <w:pStyle w:val="Compact"/>
      </w:pPr>
      <w:r>
        <w:rPr>
          <w:b/>
        </w:rPr>
        <w:t xml:space="preserve">Exit criteria:</w:t>
      </w:r>
      <w:r>
        <w:t xml:space="preserve"> </w:t>
      </w:r>
      <w:r>
        <w:t xml:space="preserve">T1 FP rate &lt;= 15% by April 30, 2026; &lt;= 10% by June 30, 2026 (closes R3 toward residual score 5)</w:t>
      </w:r>
    </w:p>
    <w:p>
      <w:pPr>
        <w:numPr>
          <w:ilvl w:val="0"/>
          <w:numId w:val="1007"/>
        </w:numPr>
        <w:pStyle w:val="Compact"/>
      </w:pPr>
      <w:r>
        <w:rPr>
          <w:b/>
        </w:rPr>
        <w:t xml:space="preserve">Reporting:</w:t>
      </w:r>
      <w:r>
        <w:t xml:space="preserve"> </w:t>
      </w:r>
      <w:r>
        <w:t xml:space="preserve">weekly to CISO; monthly to Security Steering Committee</w:t>
      </w:r>
    </w:p>
    <w:p>
      <w:pPr>
        <w:pStyle w:val="FirstParagraph"/>
      </w:pPr>
      <w:r>
        <w:t xml:space="preserve">This sprint is funded under the FY26 detection budget; it is partially funded with respect to a longer-term MDR-tier-1 handoff initiative (Backgrounder §10 priority 4) which is under negotiation with Arctic Wolf as of Q2 2026.</w:t>
      </w:r>
    </w:p>
    <w:p>
      <w:pPr>
        <w:pStyle w:val="Heading2"/>
      </w:pPr>
      <w:bookmarkStart w:id="41" w:name="Xdc7c053ef423ec8adf9426351ead006893c89ca"/>
      <w:r>
        <w:t xml:space="preserve">8. Phishing Report Handling</w:t>
      </w:r>
      <w:bookmarkEnd w:id="41"/>
    </w:p>
    <w:p>
      <w:pPr>
        <w:pStyle w:val="FirstParagraph"/>
      </w:pPr>
      <w:r>
        <w:t xml:space="preserve">Phishing reports from end users via the M365 reporting add-in (or</w:t>
      </w:r>
      <w:r>
        <w:t xml:space="preserve"> </w:t>
      </w:r>
      <w:r>
        <w:rPr>
          <w:rStyle w:val="VerbatimChar"/>
        </w:rPr>
        <w:t xml:space="preserve">report@meridiancare.com</w:t>
      </w:r>
      <w:r>
        <w:t xml:space="preserve">) are a special class:</w:t>
      </w:r>
    </w:p>
    <w:p>
      <w:pPr>
        <w:numPr>
          <w:ilvl w:val="0"/>
          <w:numId w:val="1008"/>
        </w:numPr>
        <w:pStyle w:val="Compact"/>
      </w:pPr>
      <w:r>
        <w:t xml:space="preserve">Auto-acknowledged by the M365 / Defender pipeline.</w:t>
      </w:r>
    </w:p>
    <w:p>
      <w:pPr>
        <w:numPr>
          <w:ilvl w:val="0"/>
          <w:numId w:val="1008"/>
        </w:numPr>
        <w:pStyle w:val="Compact"/>
      </w:pPr>
      <w:r>
        <w:t xml:space="preserve">Sample / cluster identified by Defender; suspicious clusters are queued for analyst review.</w:t>
      </w:r>
    </w:p>
    <w:p>
      <w:pPr>
        <w:numPr>
          <w:ilvl w:val="0"/>
          <w:numId w:val="1008"/>
        </w:numPr>
        <w:pStyle w:val="Compact"/>
      </w:pPr>
      <w:r>
        <w:t xml:space="preserve">Iyer triages within 1 business hour of receipt during business hours; Arctic Wolf reviews overnight clusters.</w:t>
      </w:r>
    </w:p>
    <w:p>
      <w:pPr>
        <w:numPr>
          <w:ilvl w:val="0"/>
          <w:numId w:val="1008"/>
        </w:numPr>
        <w:pStyle w:val="Compact"/>
      </w:pPr>
      <w:r>
        <w:t xml:space="preserve">Confirmed phishing -&gt; remove from all mailboxes (M365 Threat Explorer remediation) -&gt; targeted communication to recipients -&gt; tuning record fed into PR.AT-* program.</w:t>
      </w:r>
    </w:p>
    <w:p>
      <w:pPr>
        <w:pStyle w:val="FirstParagraph"/>
      </w:pPr>
      <w:r>
        <w:t xml:space="preserve">Quarterly KPI: report rate (Q4 2025: 48%) and click rate on simulated phishing (Q4 2025: 2.4%).</w:t>
      </w:r>
    </w:p>
    <w:p>
      <w:pPr>
        <w:pStyle w:val="Heading2"/>
      </w:pPr>
      <w:bookmarkStart w:id="42" w:name="Xee79b3b3ce2773c8d0445b710f7cf41d074c347"/>
      <w:r>
        <w:t xml:space="preserve">9. Documentation, Audit, and Quality</w:t>
      </w:r>
      <w:bookmarkEnd w:id="42"/>
    </w:p>
    <w:p>
      <w:pPr>
        <w:numPr>
          <w:ilvl w:val="0"/>
          <w:numId w:val="1009"/>
        </w:numPr>
        <w:pStyle w:val="Compact"/>
      </w:pPr>
      <w:r>
        <w:t xml:space="preserve">All triage activity is captured in Datadog incidents and exported to the cold archive.</w:t>
      </w:r>
    </w:p>
    <w:p>
      <w:pPr>
        <w:numPr>
          <w:ilvl w:val="0"/>
          <w:numId w:val="1009"/>
        </w:numPr>
        <w:pStyle w:val="Compact"/>
      </w:pPr>
      <w:r>
        <w:t xml:space="preserve">A weekly quality review by Tan samples 5 closed T1 and 5 closed T2 triages and verifies completeness. Findings are fed back to the analyst and into runbook revisions.</w:t>
      </w:r>
    </w:p>
    <w:p>
      <w:pPr>
        <w:numPr>
          <w:ilvl w:val="0"/>
          <w:numId w:val="1009"/>
        </w:numPr>
        <w:pStyle w:val="Compact"/>
      </w:pPr>
      <w:r>
        <w:t xml:space="preserve">Quarterly metrics package to the Security Steering Committee covers volumes by tier, SLA attainment, FP rate, top-noisy rules, and tuning sprint progress.</w:t>
      </w:r>
    </w:p>
    <w:p>
      <w:pPr>
        <w:numPr>
          <w:ilvl w:val="0"/>
          <w:numId w:val="1009"/>
        </w:numPr>
        <w:pStyle w:val="Compact"/>
      </w:pPr>
      <w:r>
        <w:t xml:space="preserve">Annual evidence package for SOC 2 Type II (Schellman) and HITRUST CSF r2 (Coalfire-validated): triage SLAs, FP rate, sample triages, escalation evidence.</w:t>
      </w:r>
    </w:p>
    <w:p>
      <w:pPr>
        <w:pStyle w:val="Heading2"/>
      </w:pPr>
      <w:bookmarkStart w:id="43" w:name="X3b4c3db7819ed66f453f0c9b146c43e80460b49"/>
      <w:r>
        <w:t xml:space="preserve">10. References</w:t>
      </w:r>
      <w:bookmarkEnd w:id="43"/>
    </w:p>
    <w:p>
      <w:pPr>
        <w:numPr>
          <w:ilvl w:val="0"/>
          <w:numId w:val="1010"/>
        </w:numPr>
        <w:pStyle w:val="Compact"/>
      </w:pPr>
      <w:r>
        <w:t xml:space="preserve">POL-001 Information Security Policy</w:t>
      </w:r>
    </w:p>
    <w:p>
      <w:pPr>
        <w:numPr>
          <w:ilvl w:val="0"/>
          <w:numId w:val="1010"/>
        </w:numPr>
        <w:pStyle w:val="Compact"/>
      </w:pPr>
      <w:r>
        <w:t xml:space="preserve">STD-LOG-01 SIEM and Central Logging Configuration Standard</w:t>
      </w:r>
    </w:p>
    <w:p>
      <w:pPr>
        <w:numPr>
          <w:ilvl w:val="0"/>
          <w:numId w:val="1010"/>
        </w:numPr>
        <w:pStyle w:val="Compact"/>
      </w:pPr>
      <w:r>
        <w:t xml:space="preserve">PLAYBOOK-Detection-Use-Cases</w:t>
      </w:r>
    </w:p>
    <w:p>
      <w:pPr>
        <w:numPr>
          <w:ilvl w:val="0"/>
          <w:numId w:val="1010"/>
        </w:numPr>
        <w:pStyle w:val="Compact"/>
      </w:pPr>
      <w:r>
        <w:t xml:space="preserve">PLN-IR-01 Incident Response Plan</w:t>
      </w:r>
    </w:p>
    <w:p>
      <w:pPr>
        <w:numPr>
          <w:ilvl w:val="0"/>
          <w:numId w:val="1010"/>
        </w:numPr>
        <w:pStyle w:val="Compact"/>
      </w:pPr>
      <w:r>
        <w:t xml:space="preserve">RISK-Cyber-Risk-Register (R3)</w:t>
      </w:r>
    </w:p>
    <w:p>
      <w:pPr>
        <w:numPr>
          <w:ilvl w:val="0"/>
          <w:numId w:val="1010"/>
        </w:numPr>
        <w:pStyle w:val="Compact"/>
      </w:pPr>
      <w:r>
        <w:t xml:space="preserve">Arctic Wolf MSA and SOW (vendor file AW-2024-MSA)</w:t>
      </w:r>
    </w:p>
    <w:p>
      <w:pPr>
        <w:pStyle w:val="Heading2"/>
      </w:pPr>
      <w:bookmarkStart w:id="44" w:name="X4242814d05d3c3546a5518e746c712e8af18524"/>
      <w:r>
        <w:t xml:space="preserve">11. Document Control</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2023-04</w:t>
            </w:r>
          </w:p>
        </w:tc>
        <w:tc>
          <w:p>
            <w:pPr>
              <w:pStyle w:val="Compact"/>
              <w:jc w:val="left"/>
            </w:pPr>
            <w:r>
              <w:t xml:space="preserve">M. Tan (predecessor)</w:t>
            </w:r>
          </w:p>
        </w:tc>
        <w:tc>
          <w:p>
            <w:pPr>
              <w:pStyle w:val="Compact"/>
              <w:jc w:val="left"/>
            </w:pPr>
            <w:r>
              <w:t xml:space="preserve">Initial procedure</w:t>
            </w:r>
          </w:p>
        </w:tc>
      </w:tr>
      <w:tr>
        <w:tc>
          <w:p>
            <w:pPr>
              <w:pStyle w:val="Compact"/>
              <w:jc w:val="left"/>
            </w:pPr>
            <w:r>
              <w:t xml:space="preserve">2.0</w:t>
            </w:r>
          </w:p>
        </w:tc>
        <w:tc>
          <w:p>
            <w:pPr>
              <w:pStyle w:val="Compact"/>
              <w:jc w:val="left"/>
            </w:pPr>
            <w:r>
              <w:t xml:space="preserve">2024-06</w:t>
            </w:r>
          </w:p>
        </w:tc>
        <w:tc>
          <w:p>
            <w:pPr>
              <w:pStyle w:val="Compact"/>
              <w:jc w:val="left"/>
            </w:pPr>
            <w:r>
              <w:t xml:space="preserve">M. Tan</w:t>
            </w:r>
          </w:p>
        </w:tc>
        <w:tc>
          <w:p>
            <w:pPr>
              <w:pStyle w:val="Compact"/>
              <w:jc w:val="left"/>
            </w:pPr>
            <w:r>
              <w:t xml:space="preserve">Arctic Wolf MDR integration; introduced PagerDuty routing</w:t>
            </w:r>
          </w:p>
        </w:tc>
      </w:tr>
      <w:tr>
        <w:tc>
          <w:p>
            <w:pPr>
              <w:pStyle w:val="Compact"/>
              <w:jc w:val="left"/>
            </w:pPr>
            <w:r>
              <w:t xml:space="preserve">2.2</w:t>
            </w:r>
          </w:p>
        </w:tc>
        <w:tc>
          <w:p>
            <w:pPr>
              <w:pStyle w:val="Compact"/>
              <w:jc w:val="left"/>
            </w:pPr>
            <w:r>
              <w:t xml:space="preserve">2024-12</w:t>
            </w:r>
          </w:p>
        </w:tc>
        <w:tc>
          <w:p>
            <w:pPr>
              <w:pStyle w:val="Compact"/>
              <w:jc w:val="left"/>
            </w:pPr>
            <w:r>
              <w:t xml:space="preserve">M. Tan</w:t>
            </w:r>
          </w:p>
        </w:tc>
        <w:tc>
          <w:p>
            <w:pPr>
              <w:pStyle w:val="Compact"/>
              <w:jc w:val="left"/>
            </w:pPr>
            <w:r>
              <w:t xml:space="preserve">Post-Pebble Phish: added MFA fatigue handling, FIDO2 awareness</w:t>
            </w:r>
          </w:p>
        </w:tc>
      </w:tr>
      <w:tr>
        <w:tc>
          <w:p>
            <w:pPr>
              <w:pStyle w:val="Compact"/>
              <w:jc w:val="left"/>
            </w:pPr>
            <w:r>
              <w:t xml:space="preserve">2.3</w:t>
            </w:r>
          </w:p>
        </w:tc>
        <w:tc>
          <w:p>
            <w:pPr>
              <w:pStyle w:val="Compact"/>
              <w:jc w:val="left"/>
            </w:pPr>
            <w:r>
              <w:t xml:space="preserve">2025-06</w:t>
            </w:r>
          </w:p>
        </w:tc>
        <w:tc>
          <w:p>
            <w:pPr>
              <w:pStyle w:val="Compact"/>
              <w:jc w:val="left"/>
            </w:pPr>
            <w:r>
              <w:t xml:space="preserve">M. Tan</w:t>
            </w:r>
          </w:p>
        </w:tc>
        <w:tc>
          <w:p>
            <w:pPr>
              <w:pStyle w:val="Compact"/>
              <w:jc w:val="left"/>
            </w:pPr>
            <w:r>
              <w:t xml:space="preserve">Q1/Q2 2025 KPI baselines added</w:t>
            </w:r>
          </w:p>
        </w:tc>
      </w:tr>
      <w:tr>
        <w:tc>
          <w:p>
            <w:pPr>
              <w:pStyle w:val="Compact"/>
              <w:jc w:val="left"/>
            </w:pPr>
            <w:r>
              <w:t xml:space="preserve">2.4</w:t>
            </w:r>
          </w:p>
        </w:tc>
        <w:tc>
          <w:p>
            <w:pPr>
              <w:pStyle w:val="Compact"/>
              <w:jc w:val="left"/>
            </w:pPr>
            <w:r>
              <w:t xml:space="preserve">2025-10</w:t>
            </w:r>
          </w:p>
        </w:tc>
        <w:tc>
          <w:p>
            <w:pPr>
              <w:pStyle w:val="Compact"/>
              <w:jc w:val="left"/>
            </w:pPr>
            <w:r>
              <w:t xml:space="preserve">M. Tan</w:t>
            </w:r>
          </w:p>
        </w:tc>
        <w:tc>
          <w:p>
            <w:pPr>
              <w:pStyle w:val="Compact"/>
              <w:jc w:val="left"/>
            </w:pPr>
            <w:r>
              <w:t xml:space="preserve">Datadog incident notes mandated for every triage</w:t>
            </w:r>
          </w:p>
        </w:tc>
      </w:tr>
      <w:tr>
        <w:tc>
          <w:p>
            <w:pPr>
              <w:pStyle w:val="Compact"/>
              <w:jc w:val="left"/>
            </w:pPr>
            <w:r>
              <w:rPr>
                <w:b/>
              </w:rPr>
              <w:t xml:space="preserve">2.5</w:t>
            </w:r>
          </w:p>
        </w:tc>
        <w:tc>
          <w:p>
            <w:pPr>
              <w:pStyle w:val="Compact"/>
              <w:jc w:val="left"/>
            </w:pPr>
            <w:r>
              <w:rPr>
                <w:b/>
              </w:rPr>
              <w:t xml:space="preserve">2026-01</w:t>
            </w:r>
          </w:p>
        </w:tc>
        <w:tc>
          <w:p>
            <w:pPr>
              <w:pStyle w:val="Compact"/>
              <w:jc w:val="left"/>
            </w:pPr>
            <w:r>
              <w:rPr>
                <w:b/>
              </w:rPr>
              <w:t xml:space="preserve">M. Tan</w:t>
            </w:r>
          </w:p>
        </w:tc>
        <w:tc>
          <w:p>
            <w:pPr>
              <w:pStyle w:val="Compact"/>
              <w:jc w:val="left"/>
            </w:pPr>
            <w:r>
              <w:rPr>
                <w:b/>
              </w:rPr>
              <w:t xml:space="preserve">Annual review; Q1 2026 KPI snapshot; documented tuning sprint plan tied to R3; Iyer -&gt; Tan -&gt; Yoon chain explicit; MDR tier-1 expansion noted as in-flight</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2026-04-30T19:08:43Z</dcterms:created>
  <dcterms:modified xsi:type="dcterms:W3CDTF">2026-04-30T19:08:43Z</dcterms:modified>
</cp:coreProperties>
</file>

<file path=docProps/custom.xml><?xml version="1.0" encoding="utf-8"?>
<Properties xmlns="http://schemas.openxmlformats.org/officeDocument/2006/custom-properties" xmlns:vt="http://schemas.openxmlformats.org/officeDocument/2006/docPropsVTypes"/>
</file>