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atch-management-policy"/>
      <w:r>
        <w:t xml:space="preserve">Patch Management Policy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POL-PM-01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4.2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February 1, 2026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January 18, 2026</w:t>
      </w:r>
      <w:r>
        <w:t xml:space="preserve"> </w:t>
      </w:r>
      <w:r>
        <w:rPr>
          <w:b/>
        </w:rPr>
        <w:t xml:space="preserve">Next review:</w:t>
      </w:r>
      <w:r>
        <w:t xml:space="preserve"> </w:t>
      </w:r>
      <w:r>
        <w:t xml:space="preserve">January 2027 (annual)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Sarah Yoon, CISO; David Mehta, CTO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Alicia Reyes, Security Engineer (Cloud/AppSec)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All engineering, IT operations, Information Security; published on internal wiki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Policy establishes MCT's requirements for the timely identification, evaluation, and remediation of vulnerabilities in MCT-owned and operated information systems through patching, upgrade, configuration change, or compensating control. It implements POL-001 §3.10 (Vulnerability and Patch Management).</w:t>
      </w:r>
    </w:p>
    <w:p>
      <w:pPr>
        <w:pStyle w:val="Heading2"/>
      </w:pPr>
      <w:bookmarkStart w:id="22" w:name="Xb66d8751654b4b3bfdfa8df98730d37eb4be826"/>
      <w:r>
        <w:t xml:space="preserve">2. Scope</w:t>
      </w:r>
      <w:bookmarkEnd w:id="22"/>
    </w:p>
    <w:p>
      <w:pPr>
        <w:pStyle w:val="FirstParagraph"/>
      </w:pPr>
      <w:r>
        <w:t xml:space="preserve">This Policy applies to:</w:t>
      </w:r>
    </w:p>
    <w:p>
      <w:pPr>
        <w:numPr>
          <w:ilvl w:val="0"/>
          <w:numId w:val="1001"/>
        </w:numPr>
        <w:pStyle w:val="Compact"/>
      </w:pPr>
      <w:r>
        <w:t xml:space="preserve">The production MeridianCare platform (EKS workloads, container images, IaC-managed infrastructure in AWS us-east-1 and us-west-2).</w:t>
      </w:r>
    </w:p>
    <w:p>
      <w:pPr>
        <w:numPr>
          <w:ilvl w:val="0"/>
          <w:numId w:val="1001"/>
        </w:numPr>
        <w:pStyle w:val="Compact"/>
      </w:pPr>
      <w:r>
        <w:t xml:space="preserve">Vendor-managed services where MCT has joint or shared patching responsibility (Aurora PostgreSQL, Snowflake — see §4.3).</w:t>
      </w:r>
    </w:p>
    <w:p>
      <w:pPr>
        <w:numPr>
          <w:ilvl w:val="0"/>
          <w:numId w:val="1001"/>
        </w:numPr>
        <w:pStyle w:val="Compact"/>
      </w:pPr>
      <w:r>
        <w:t xml:space="preserve">Managed endpoints (laptops) running macOS or Windows 11.</w:t>
      </w:r>
    </w:p>
    <w:p>
      <w:pPr>
        <w:numPr>
          <w:ilvl w:val="0"/>
          <w:numId w:val="1001"/>
        </w:numPr>
        <w:pStyle w:val="Compact"/>
      </w:pPr>
      <w:r>
        <w:t xml:space="preserve">The legacy on-premises ETL cluster at Raleigh HQ, which is in scope under a documented exception covering manual patching (RISK R4; exception EX-2024-007).</w:t>
      </w:r>
    </w:p>
    <w:p>
      <w:pPr>
        <w:numPr>
          <w:ilvl w:val="0"/>
          <w:numId w:val="1001"/>
        </w:numPr>
        <w:pStyle w:val="Compact"/>
      </w:pPr>
      <w:r>
        <w:t xml:space="preserve">Source-code dependencies (OSS) consumed by MCT-built services.</w:t>
      </w:r>
    </w:p>
    <w:p>
      <w:pPr>
        <w:pStyle w:val="FirstParagraph"/>
      </w:pPr>
      <w:r>
        <w:t xml:space="preserve">This Policy excludes vendor-fully-managed SaaS (Microsoft 365, Okta, Datadog, GitHub, Salesforce, etc.), which are governed by Third-Party Risk (POL-TPRM-01).</w:t>
      </w:r>
    </w:p>
    <w:p>
      <w:pPr>
        <w:pStyle w:val="Heading2"/>
      </w:pPr>
      <w:bookmarkStart w:id="23" w:name="X08c4d112b88c1dfc0a973db085feec2e7473a23"/>
      <w:r>
        <w:t xml:space="preserve">3. Roles and Responsibilities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Engineer (Cloud/AppSec) — A. Reyes</w:t>
            </w:r>
          </w:p>
        </w:tc>
        <w:tc>
          <w:p>
            <w:pPr>
              <w:pStyle w:val="Compact"/>
              <w:jc w:val="left"/>
            </w:pPr>
            <w:r>
              <w:t xml:space="preserve">Owns this Policy; owns Wiz and Snyk operation; runs the weekly remediation triage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 teams (service owners)</w:t>
            </w:r>
          </w:p>
        </w:tc>
        <w:tc>
          <w:p>
            <w:pPr>
              <w:pStyle w:val="Compact"/>
              <w:jc w:val="left"/>
            </w:pPr>
            <w:r>
              <w:t xml:space="preserve">Execute remediation for their services; own the remediation SLA clock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Engineer (D&amp;R) — M. Tan</w:t>
            </w:r>
          </w:p>
        </w:tc>
        <w:tc>
          <w:p>
            <w:pPr>
              <w:pStyle w:val="Compact"/>
              <w:jc w:val="left"/>
            </w:pPr>
            <w:r>
              <w:t xml:space="preserve">Owns endpoint Falcon Spotlight and IT-coordination patching for endpoint fleet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GRC Manager — J. Park</w:t>
            </w:r>
          </w:p>
        </w:tc>
        <w:tc>
          <w:p>
            <w:pPr>
              <w:pStyle w:val="Compact"/>
              <w:jc w:val="left"/>
            </w:pPr>
            <w:r>
              <w:t xml:space="preserve">Owns exception process and audit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CISO — S. Yoon</w:t>
            </w:r>
          </w:p>
        </w:tc>
        <w:tc>
          <w:p>
            <w:pPr>
              <w:pStyle w:val="Compact"/>
              <w:jc w:val="left"/>
            </w:pPr>
            <w:r>
              <w:t xml:space="preserve">Approves exceptions, accepts residual risk</w:t>
            </w:r>
          </w:p>
        </w:tc>
      </w:tr>
    </w:tbl>
    <w:p>
      <w:pPr>
        <w:pStyle w:val="Heading2"/>
      </w:pPr>
      <w:bookmarkStart w:id="24" w:name="Xa83fca2c9cd7f10da2b5caabd1e6c4d83c6d36e"/>
      <w:r>
        <w:t xml:space="preserve">4. Patching SLAs</w:t>
      </w:r>
      <w:bookmarkEnd w:id="24"/>
    </w:p>
    <w:p>
      <w:pPr>
        <w:pStyle w:val="Heading3"/>
      </w:pPr>
      <w:bookmarkStart w:id="25" w:name="X3f87e0283f865608e683c3f96803bc995c1dcf7"/>
      <w:r>
        <w:t xml:space="preserve">4.1 Severity-based SLAs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 from earliest of: (a) vendor advisory release, (b) MCT first-detection scan, (c) inclusion in CISA KEV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14 calendar days</w:t>
            </w:r>
          </w:p>
        </w:tc>
        <w:tc>
          <w:p>
            <w:pPr>
              <w:pStyle w:val="Compact"/>
              <w:jc w:val="left"/>
            </w:pPr>
            <w:r>
              <w:t xml:space="preserve">KEV-listed CVE; CVSS 9.0+; remote unauthenticated 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30 calendar days</w:t>
            </w:r>
          </w:p>
        </w:tc>
        <w:tc>
          <w:p>
            <w:pPr>
              <w:pStyle w:val="Compact"/>
              <w:jc w:val="left"/>
            </w:pPr>
            <w:r>
              <w:t xml:space="preserve">CVSS 7.0–8.9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90 calendar days</w:t>
            </w:r>
          </w:p>
        </w:tc>
        <w:tc>
          <w:p>
            <w:pPr>
              <w:pStyle w:val="Compact"/>
              <w:jc w:val="left"/>
            </w:pPr>
            <w:r>
              <w:t xml:space="preserve">CVSS 4.0–6.9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180 calendar days</w:t>
            </w:r>
          </w:p>
        </w:tc>
        <w:tc>
          <w:p>
            <w:pPr>
              <w:pStyle w:val="Compact"/>
              <w:jc w:val="left"/>
            </w:pPr>
            <w:r>
              <w:t xml:space="preserve">CVSS &lt; 4.0</w:t>
            </w:r>
          </w:p>
        </w:tc>
      </w:tr>
    </w:tbl>
    <w:p>
      <w:pPr>
        <w:pStyle w:val="BodyText"/>
      </w:pPr>
      <w:r>
        <w:t xml:space="preserve">KEV-listed CVEs auto-promote to Critical regardless of base CVSS.</w:t>
      </w:r>
    </w:p>
    <w:p>
      <w:pPr>
        <w:pStyle w:val="Heading3"/>
      </w:pPr>
      <w:bookmarkStart w:id="26" w:name="X58f41f92bae0726a95d5c5af30a030ec730038a"/>
      <w:r>
        <w:t xml:space="preserve">4.2 SLA scope and definition of "patched"</w:t>
      </w:r>
      <w:bookmarkEnd w:id="26"/>
    </w:p>
    <w:p>
      <w:pPr>
        <w:pStyle w:val="FirstParagraph"/>
      </w:pPr>
      <w:r>
        <w:t xml:space="preserve">A finding is "patched" when one of the following is true:</w:t>
      </w:r>
    </w:p>
    <w:p>
      <w:pPr>
        <w:numPr>
          <w:ilvl w:val="0"/>
          <w:numId w:val="1002"/>
        </w:numPr>
        <w:pStyle w:val="Compact"/>
      </w:pPr>
      <w:r>
        <w:t xml:space="preserve">Affected component upgraded to a fixed version.</w:t>
      </w:r>
    </w:p>
    <w:p>
      <w:pPr>
        <w:numPr>
          <w:ilvl w:val="0"/>
          <w:numId w:val="1002"/>
        </w:numPr>
        <w:pStyle w:val="Compact"/>
      </w:pPr>
      <w:r>
        <w:t xml:space="preserve">Configuration change applied that removes the vulnerability condition.</w:t>
      </w:r>
    </w:p>
    <w:p>
      <w:pPr>
        <w:numPr>
          <w:ilvl w:val="0"/>
          <w:numId w:val="1002"/>
        </w:numPr>
        <w:pStyle w:val="Compact"/>
      </w:pPr>
      <w:r>
        <w:t xml:space="preserve">Affected component removed.</w:t>
      </w:r>
    </w:p>
    <w:p>
      <w:pPr>
        <w:numPr>
          <w:ilvl w:val="0"/>
          <w:numId w:val="1002"/>
        </w:numPr>
        <w:pStyle w:val="Compact"/>
      </w:pPr>
      <w:r>
        <w:t xml:space="preserve">Compensating controls accepted under §6 with documented residual risk; SLA clock paused under formal exception.</w:t>
      </w:r>
    </w:p>
    <w:p>
      <w:pPr>
        <w:pStyle w:val="FirstParagraph"/>
      </w:pPr>
      <w:r>
        <w:t xml:space="preserve">The SLA clock starts at the earliest disclosure event MCT can reasonably observe and stops only when patched as defined above.</w:t>
      </w:r>
    </w:p>
    <w:p>
      <w:pPr>
        <w:pStyle w:val="Heading3"/>
      </w:pPr>
      <w:bookmarkStart w:id="27" w:name="Xb0d609eb1725e5f6e1b6edd25147d3e038257f2"/>
      <w:r>
        <w:t xml:space="preserve">4.3 Vendor-managed services</w:t>
      </w:r>
      <w:bookmarkEnd w:id="27"/>
    </w:p>
    <w:p>
      <w:pPr>
        <w:pStyle w:val="FirstParagraph"/>
      </w:pPr>
      <w:r>
        <w:t xml:space="preserve">For Aurora PostgreSQL and Snowflake, vendor-managed minor-version and security patches are accepted on the vendor's published cadence. MCT is responsible for accepting vendor-scheduled maintenance windows promptly (target: within one published maintenance cycle for security-class releases) and for verifying post-patch.</w:t>
      </w:r>
    </w:p>
    <w:p>
      <w:pPr>
        <w:pStyle w:val="Heading2"/>
      </w:pPr>
      <w:bookmarkStart w:id="28" w:name="Xedfb48366a62289a963db1ceeb1a538bbeb4647"/>
      <w:r>
        <w:t xml:space="preserve">5. Tooling and Automation</w:t>
      </w:r>
      <w:bookmarkEnd w:id="28"/>
    </w:p>
    <w:p>
      <w:pPr>
        <w:pStyle w:val="Heading3"/>
      </w:pPr>
      <w:bookmarkStart w:id="29" w:name="X8467d34ea25d336c8c66ac2503a930a8a657882"/>
      <w:r>
        <w:t xml:space="preserve">5.1 Identification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posture</w:t>
            </w:r>
          </w:p>
        </w:tc>
        <w:tc>
          <w:p>
            <w:pPr>
              <w:pStyle w:val="Compact"/>
              <w:jc w:val="left"/>
            </w:pPr>
            <w:r>
              <w:t xml:space="preserve">Wiz CSPM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images at runtime</w:t>
            </w:r>
          </w:p>
        </w:tc>
        <w:tc>
          <w:p>
            <w:pPr>
              <w:pStyle w:val="Compact"/>
              <w:jc w:val="left"/>
            </w:pPr>
            <w:r>
              <w:t xml:space="preserve">Wiz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images on build</w:t>
            </w:r>
          </w:p>
        </w:tc>
        <w:tc>
          <w:p>
            <w:pPr>
              <w:pStyle w:val="Compact"/>
              <w:jc w:val="left"/>
            </w:pPr>
            <w:r>
              <w:t xml:space="preserve">Snyk Container</w:t>
            </w:r>
          </w:p>
        </w:tc>
        <w:tc>
          <w:p>
            <w:pPr>
              <w:pStyle w:val="Compact"/>
              <w:jc w:val="left"/>
            </w:pPr>
            <w:r>
              <w:t xml:space="preserve">Per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p>
            <w:pPr>
              <w:pStyle w:val="Compact"/>
              <w:jc w:val="left"/>
            </w:pPr>
            <w:r>
              <w:t xml:space="preserve">Snyk Code</w:t>
            </w:r>
          </w:p>
        </w:tc>
        <w:tc>
          <w:p>
            <w:pPr>
              <w:pStyle w:val="Compact"/>
              <w:jc w:val="left"/>
            </w:pPr>
            <w:r>
              <w:t xml:space="preserve">Per 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OSS dependencies</w:t>
            </w:r>
          </w:p>
        </w:tc>
        <w:tc>
          <w:p>
            <w:pPr>
              <w:pStyle w:val="Compact"/>
              <w:jc w:val="left"/>
            </w:pPr>
            <w:r>
              <w:t xml:space="preserve">Snyk Open Source + Dependabot</w:t>
            </w:r>
          </w:p>
        </w:tc>
        <w:tc>
          <w:p>
            <w:pPr>
              <w:pStyle w:val="Compact"/>
              <w:jc w:val="left"/>
            </w:pPr>
            <w:r>
              <w:t xml:space="preserve">Per PR + nightly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repo health</w:t>
            </w:r>
          </w:p>
        </w:tc>
        <w:tc>
          <w:p>
            <w:pPr>
              <w:pStyle w:val="Compact"/>
              <w:jc w:val="left"/>
            </w:pPr>
            <w:r>
              <w:t xml:space="preserve">GHAS (CodeQL, Secret Scanning)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p>
            <w:pPr>
              <w:pStyle w:val="Compact"/>
              <w:jc w:val="left"/>
            </w:pPr>
            <w:r>
              <w:t xml:space="preserve">CrowdStrike Falcon Spotlight + Jamf Pro / Microsoft Intune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 ETL cluster</w:t>
            </w:r>
          </w:p>
        </w:tc>
        <w:tc>
          <w:p>
            <w:pPr>
              <w:pStyle w:val="Compact"/>
              <w:jc w:val="left"/>
            </w:pPr>
            <w:r>
              <w:t xml:space="preserve">Manual Nessus Professional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p>
      <w:pPr>
        <w:pStyle w:val="Heading3"/>
      </w:pPr>
      <w:bookmarkStart w:id="30" w:name="X334907c344498ffb37b7bfa6f5b8739b6e41888"/>
      <w:r>
        <w:t xml:space="preserve">5.2 Prioritization</w:t>
      </w:r>
      <w:bookmarkEnd w:id="30"/>
    </w:p>
    <w:p>
      <w:pPr>
        <w:pStyle w:val="FirstParagraph"/>
      </w:pPr>
      <w:r>
        <w:t xml:space="preserve">Wiz is the system of record for prioritization on the cloud asset side. Wiz "toxic combinations" (e.g., publicly exposed + KEV CVE + IAM privilege) override raw CVSS and elevate findings to Critical operationally regardless of SLA tier.</w:t>
      </w:r>
    </w:p>
    <w:p>
      <w:pPr>
        <w:pStyle w:val="Heading3"/>
      </w:pPr>
      <w:bookmarkStart w:id="31" w:name="X2300c4f445381353964b207d100a774cb443162"/>
      <w:r>
        <w:t xml:space="preserve">5.3 Remediation automation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Container images:</w:t>
      </w:r>
      <w:r>
        <w:t xml:space="preserve"> </w:t>
      </w:r>
      <w:r>
        <w:t xml:space="preserve">automated rebuild via GitHub Actions on a scheduled cadence (weekly base image rebuild) and on dependency advisories. Renovate Bot opens PRs for upstream version bumps; CI runs Snyk and CodeQL; passing PRs are auto-merged for low/medium severity. Critical and high require explicit reviewer approval before merge.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OSS dependencies:</w:t>
      </w:r>
      <w:r>
        <w:t xml:space="preserve"> </w:t>
      </w:r>
      <w:r>
        <w:t xml:space="preserve">Renovate (Node, Python, Go modules) and Dependabot (security advisories) generate PRs. Auto-merge enabled for low/medium severity once CI passes.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Endpoints:</w:t>
      </w:r>
      <w:r>
        <w:t xml:space="preserve"> </w:t>
      </w:r>
      <w:r>
        <w:t xml:space="preserve">Jamf Pro (macOS) and Microsoft Intune (Windows) push updates with phased rollouts (10% pilot ring, then full fleet within 7 days for security updates).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AWS infrastructure:</w:t>
      </w:r>
      <w:r>
        <w:t xml:space="preserve"> </w:t>
      </w:r>
      <w:r>
        <w:t xml:space="preserve">all changes via Terraform; Wiz feedback loops into the IaC repository (Wiz Code) where applicable.</w:t>
      </w:r>
    </w:p>
    <w:p>
      <w:pPr>
        <w:pStyle w:val="Heading3"/>
      </w:pPr>
      <w:bookmarkStart w:id="32" w:name="X9f5995eb6e7379ae7faf9999013649e5f67fa8f"/>
      <w:r>
        <w:t xml:space="preserve">5.4 Validation</w:t>
      </w:r>
      <w:bookmarkEnd w:id="32"/>
    </w:p>
    <w:p>
      <w:pPr>
        <w:pStyle w:val="FirstParagraph"/>
      </w:pPr>
      <w:r>
        <w:t xml:space="preserve">Post-patch validation is performed by:</w:t>
      </w:r>
    </w:p>
    <w:p>
      <w:pPr>
        <w:numPr>
          <w:ilvl w:val="0"/>
          <w:numId w:val="1004"/>
        </w:numPr>
        <w:pStyle w:val="Compact"/>
      </w:pPr>
      <w:r>
        <w:t xml:space="preserve">Re-scan in Wiz / Snyk / GHAS to confirm closure within 24 hours.</w:t>
      </w:r>
    </w:p>
    <w:p>
      <w:pPr>
        <w:numPr>
          <w:ilvl w:val="0"/>
          <w:numId w:val="1004"/>
        </w:numPr>
        <w:pStyle w:val="Compact"/>
      </w:pPr>
      <w:r>
        <w:t xml:space="preserve">For endpoints: Falcon Spotlight re-evaluation.</w:t>
      </w:r>
    </w:p>
    <w:p>
      <w:pPr>
        <w:numPr>
          <w:ilvl w:val="0"/>
          <w:numId w:val="1004"/>
        </w:numPr>
        <w:pStyle w:val="Compact"/>
      </w:pPr>
      <w:r>
        <w:t xml:space="preserve">For Aurora and Snowflake: vendor maintenance event acknowledgement plus post-patch smoke test.</w:t>
      </w:r>
    </w:p>
    <w:p>
      <w:pPr>
        <w:numPr>
          <w:ilvl w:val="0"/>
          <w:numId w:val="1004"/>
        </w:numPr>
        <w:pStyle w:val="Compact"/>
      </w:pPr>
      <w:r>
        <w:t xml:space="preserve">For legacy ETL: manual Nessus rescan within 7 days of patch application.</w:t>
      </w:r>
    </w:p>
    <w:p>
      <w:pPr>
        <w:pStyle w:val="FirstParagraph"/>
      </w:pPr>
      <w:r>
        <w:t xml:space="preserve">A finding is closed in Hyperproof only after a re-scan confirms it is no longer detected, or the compensating-control exception is approved.</w:t>
      </w:r>
    </w:p>
    <w:p>
      <w:pPr>
        <w:pStyle w:val="Heading2"/>
      </w:pPr>
      <w:bookmarkStart w:id="33" w:name="Xc87fae22db9429208206722de44681cdf2cafc4"/>
      <w:r>
        <w:t xml:space="preserve">6. Exceptions and Compensating Controls</w:t>
      </w:r>
      <w:bookmarkEnd w:id="33"/>
    </w:p>
    <w:p>
      <w:pPr>
        <w:pStyle w:val="Heading3"/>
      </w:pPr>
      <w:bookmarkStart w:id="34" w:name="X6dbfa8b19065637e08413585543dcea387cf6e2"/>
      <w:r>
        <w:t xml:space="preserve">6.1 Process</w:t>
      </w:r>
      <w:bookmarkEnd w:id="34"/>
    </w:p>
    <w:p>
      <w:pPr>
        <w:pStyle w:val="FirstParagraph"/>
      </w:pPr>
      <w:r>
        <w:t xml:space="preserve">Exceptions are governed by POL-001 §6 and recorded in REG-EX-01. A patch exception requires:</w:t>
      </w:r>
    </w:p>
    <w:p>
      <w:pPr>
        <w:numPr>
          <w:ilvl w:val="0"/>
          <w:numId w:val="1005"/>
        </w:numPr>
        <w:pStyle w:val="Compact"/>
      </w:pPr>
      <w:r>
        <w:t xml:space="preserve">Description of the vulnerability and the remediation barrier (e.g., upstream maintainer not yet released).</w:t>
      </w:r>
    </w:p>
    <w:p>
      <w:pPr>
        <w:numPr>
          <w:ilvl w:val="0"/>
          <w:numId w:val="1005"/>
        </w:numPr>
        <w:pStyle w:val="Compact"/>
      </w:pPr>
      <w:r>
        <w:t xml:space="preserve">Compensating controls applied (e.g., WAF rule, runtime detection, network restriction).</w:t>
      </w:r>
    </w:p>
    <w:p>
      <w:pPr>
        <w:numPr>
          <w:ilvl w:val="0"/>
          <w:numId w:val="1005"/>
        </w:numPr>
        <w:pStyle w:val="Compact"/>
      </w:pPr>
      <w:r>
        <w:t xml:space="preserve">Residual risk evaluation, signed by the engineering owner.</w:t>
      </w:r>
    </w:p>
    <w:p>
      <w:pPr>
        <w:numPr>
          <w:ilvl w:val="0"/>
          <w:numId w:val="1005"/>
        </w:numPr>
        <w:pStyle w:val="Compact"/>
      </w:pPr>
      <w:r>
        <w:t xml:space="preserve">Target closure date.</w:t>
      </w:r>
    </w:p>
    <w:p>
      <w:pPr>
        <w:numPr>
          <w:ilvl w:val="0"/>
          <w:numId w:val="1005"/>
        </w:numPr>
        <w:pStyle w:val="Compact"/>
      </w:pPr>
      <w:r>
        <w:t xml:space="preserve">CISO approval.</w:t>
      </w:r>
    </w:p>
    <w:p>
      <w:pPr>
        <w:pStyle w:val="FirstParagraph"/>
      </w:pPr>
      <w:r>
        <w:t xml:space="preserve">Exceptions exceeding 90 days require Security Steering Committee endorsement; exceptions exceeding 180 days require Audit &amp; Risk Committee notification.</w:t>
      </w:r>
    </w:p>
    <w:p>
      <w:pPr>
        <w:pStyle w:val="Heading3"/>
      </w:pPr>
      <w:bookmarkStart w:id="35" w:name="X9fe8ead47aeb092d6ebeec62bc4744fc358cc3b"/>
      <w:r>
        <w:t xml:space="preserve">6.2 Standing exceptions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EX-2024-007</w:t>
            </w:r>
          </w:p>
        </w:tc>
        <w:tc>
          <w:p>
            <w:pPr>
              <w:pStyle w:val="Compact"/>
              <w:jc w:val="left"/>
            </w:pPr>
            <w:r>
              <w:t xml:space="preserve">Legacy on-premises ETL cluster — manual patching</w:t>
            </w:r>
          </w:p>
        </w:tc>
        <w:tc>
          <w:p>
            <w:pPr>
              <w:pStyle w:val="Compact"/>
              <w:jc w:val="left"/>
            </w:pPr>
            <w:r>
              <w:t xml:space="preserve">RISK R4</w:t>
            </w:r>
          </w:p>
        </w:tc>
        <w:tc>
          <w:p>
            <w:pPr>
              <w:pStyle w:val="Compact"/>
              <w:jc w:val="left"/>
            </w:pPr>
            <w:r>
              <w:t xml:space="preserve">Decommission Q4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EX-2026-014</w:t>
            </w:r>
          </w:p>
        </w:tc>
        <w:tc>
          <w:p>
            <w:pPr>
              <w:pStyle w:val="Compact"/>
              <w:jc w:val="left"/>
            </w:pPr>
            <w:r>
              <w:t xml:space="preserve">Two container base images awaiting upstream release (high severity)</w:t>
            </w:r>
          </w:p>
        </w:tc>
        <w:tc>
          <w:p>
            <w:pPr>
              <w:pStyle w:val="Compact"/>
              <w:jc w:val="left"/>
            </w:pPr>
            <w:r>
              <w:t xml:space="preserve">Two findings past 30-day high SLA</w:t>
            </w:r>
          </w:p>
        </w:tc>
        <w:tc>
          <w:p>
            <w:pPr>
              <w:pStyle w:val="Compact"/>
              <w:jc w:val="left"/>
            </w:pPr>
            <w:r>
              <w:t xml:space="preserve">Closure on next upstream maintainer release; tracked weekly</w:t>
            </w:r>
          </w:p>
        </w:tc>
      </w:tr>
    </w:tbl>
    <w:p>
      <w:pPr>
        <w:pStyle w:val="Heading2"/>
      </w:pPr>
      <w:bookmarkStart w:id="36" w:name="X9776c41356383168a2e2122e70b9dd869886894"/>
      <w:r>
        <w:t xml:space="preserve">7. Legacy ETL Cluster — Manual Patching Provisions</w:t>
      </w:r>
      <w:bookmarkEnd w:id="36"/>
    </w:p>
    <w:p>
      <w:pPr>
        <w:pStyle w:val="FirstParagraph"/>
      </w:pPr>
      <w:r>
        <w:t xml:space="preserve">The legacy on-premises ETL cluster at Raleigh HQ is patched manually under the following provisions, which differ from the production-platform standard and reflect the realities of the legacy environment: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Cadence:</w:t>
      </w:r>
      <w:r>
        <w:t xml:space="preserve"> </w:t>
      </w:r>
      <w:r>
        <w:t xml:space="preserve">quarterly Nessus Professional scan; ad-hoc patch application within the relevant SLA tier from scan date (not from vendor advisory release date — this is a documented, reduced posture).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Owner:</w:t>
      </w:r>
      <w:r>
        <w:t xml:space="preserve"> </w:t>
      </w:r>
      <w:r>
        <w:t xml:space="preserve">A. Reyes, with operational support from the Raleigh facilities engineering team.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Compensating controls</w:t>
      </w:r>
      <w:r>
        <w:t xml:space="preserve"> </w:t>
      </w:r>
      <w:r>
        <w:t xml:space="preserve">per CRA-LegacyETL-2025: edge-firewall egress allowlist with logging; CrowdStrike Falcon on hosts; restricted service accounts; quarterly manual log review.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Visibility:</w:t>
      </w:r>
      <w:r>
        <w:t xml:space="preserve"> </w:t>
      </w:r>
      <w:r>
        <w:t xml:space="preserve">legacy ETL findings are reported separately in the quarterly vulnerability summary (see RPT-Vulnerability-Scan-Summary-*).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Closure path:</w:t>
      </w:r>
      <w:r>
        <w:t xml:space="preserve"> </w:t>
      </w:r>
      <w:r>
        <w:t xml:space="preserve">decommission Q4 2026. The Company has not invested in modernized vulnerability management on this cluster because the remaining service life does not justify the work.</w:t>
      </w:r>
    </w:p>
    <w:p>
      <w:pPr>
        <w:pStyle w:val="FirstParagraph"/>
      </w:pPr>
      <w:r>
        <w:t xml:space="preserve">This is the operational manifestation of RISK R4 and is honestly captured here for assessor visibility. It is not a hidden gap.</w:t>
      </w:r>
    </w:p>
    <w:p>
      <w:pPr>
        <w:pStyle w:val="Heading2"/>
      </w:pPr>
      <w:bookmarkStart w:id="37" w:name="Xb675241e2e1d378df3edc3f83b27e7b8bb870d0"/>
      <w:r>
        <w:t xml:space="preserve">8. KPIs and Reporting</w:t>
      </w:r>
      <w:bookmarkEnd w:id="37"/>
    </w:p>
    <w:p>
      <w:pPr>
        <w:pStyle w:val="FirstParagraph"/>
      </w:pPr>
      <w:r>
        <w:t xml:space="preserve">The following KPIs are reported quarterly to the Security Steering Committee and at least annually to the Audit &amp; Risk Committee: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2026 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patch SLA compliance (rolling 90d)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Hyperproof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patch SLA compliance (rolling 90d)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p>
            <w:pPr>
              <w:pStyle w:val="Compact"/>
              <w:jc w:val="left"/>
            </w:pPr>
            <w:r>
              <w:t xml:space="preserve">Hyperproof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patch SLA compliance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Hyperproof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time to remediate critical</w:t>
            </w:r>
          </w:p>
        </w:tc>
        <w:tc>
          <w:p>
            <w:pPr>
              <w:pStyle w:val="Compact"/>
              <w:jc w:val="left"/>
            </w:pPr>
            <w:r>
              <w:t xml:space="preserve">&lt; 7 days</w:t>
            </w:r>
          </w:p>
        </w:tc>
        <w:tc>
          <w:p>
            <w:pPr>
              <w:pStyle w:val="Compact"/>
              <w:jc w:val="left"/>
            </w:pPr>
            <w:r>
              <w:t xml:space="preserve">4.8 days</w:t>
            </w:r>
          </w:p>
        </w:tc>
        <w:tc>
          <w:p>
            <w:pPr>
              <w:pStyle w:val="Compact"/>
              <w:jc w:val="left"/>
            </w:pPr>
            <w:r>
              <w:t xml:space="preserve">Hyperproof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production images rebuilt in last 30 days</w:t>
            </w:r>
          </w:p>
        </w:tc>
        <w:tc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Renovate auto-merge rate (low/medium)</w:t>
            </w:r>
          </w:p>
        </w:tc>
        <w:tc>
          <w:p>
            <w:pPr>
              <w:pStyle w:val="Compact"/>
              <w:jc w:val="left"/>
            </w:pPr>
            <w:r>
              <w:t xml:space="preserve">&gt; 70%</w:t>
            </w:r>
          </w:p>
        </w:tc>
        <w:tc>
          <w:p>
            <w:pPr>
              <w:pStyle w:val="Compact"/>
              <w:jc w:val="left"/>
            </w:pPr>
            <w:r>
              <w:t xml:space="preserve">73%</w:t>
            </w:r>
          </w:p>
        </w:tc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compliance (security update within 7d)</w:t>
            </w:r>
          </w:p>
        </w:tc>
        <w:tc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p>
            <w:pPr>
              <w:pStyle w:val="Compact"/>
              <w:jc w:val="left"/>
            </w:pPr>
            <w:r>
              <w:t xml:space="preserve">96.4%</w:t>
            </w:r>
          </w:p>
        </w:tc>
        <w:tc>
          <w:p>
            <w:pPr>
              <w:pStyle w:val="Compact"/>
              <w:jc w:val="left"/>
            </w:pPr>
            <w:r>
              <w:t xml:space="preserve">Jamf / Intune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exceptions, count</w:t>
            </w:r>
          </w:p>
        </w:tc>
        <w:tc>
          <w:p>
            <w:pPr>
              <w:pStyle w:val="Compact"/>
              <w:jc w:val="left"/>
            </w:pPr>
            <w:r>
              <w:t xml:space="preserve">&lt; 10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REG-EX-01</w:t>
            </w:r>
          </w:p>
        </w:tc>
      </w:tr>
    </w:tbl>
    <w:p>
      <w:pPr>
        <w:pStyle w:val="Heading2"/>
      </w:pPr>
      <w:bookmarkStart w:id="38" w:name="Xd3a51f623683a12733144bc5580abe79685c9e8"/>
      <w:r>
        <w:t xml:space="preserve">9. Compliance and Enforcement</w:t>
      </w:r>
      <w:bookmarkEnd w:id="38"/>
    </w:p>
    <w:p>
      <w:pPr>
        <w:pStyle w:val="FirstParagraph"/>
      </w:pPr>
      <w:r>
        <w:t xml:space="preserve">Compliance with this Policy is mandatory. Engineering managers are accountable for their team's SLA compliance. Sustained non-compliance is escalated through Engineering leadership to the Security Steering Committee.</w:t>
      </w:r>
    </w:p>
    <w:p>
      <w:pPr>
        <w:pStyle w:val="Heading2"/>
      </w:pPr>
      <w:bookmarkStart w:id="39" w:name="X3b4c3db7819ed66f453f0c9b146c43e80460b49"/>
      <w:r>
        <w:t xml:space="preserve">10. References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POL-001 Information Security Policy</w:t>
      </w:r>
    </w:p>
    <w:p>
      <w:pPr>
        <w:numPr>
          <w:ilvl w:val="0"/>
          <w:numId w:val="1007"/>
        </w:numPr>
        <w:pStyle w:val="Compact"/>
      </w:pPr>
      <w:r>
        <w:t xml:space="preserve">RISK-Cyber-Risk-Register (R4)</w:t>
      </w:r>
    </w:p>
    <w:p>
      <w:pPr>
        <w:numPr>
          <w:ilvl w:val="0"/>
          <w:numId w:val="1007"/>
        </w:numPr>
        <w:pStyle w:val="Compact"/>
      </w:pPr>
      <w:r>
        <w:t xml:space="preserve">CRA-LegacyETL-2025 Compensating Risk Acceptance for legacy ETL</w:t>
      </w:r>
    </w:p>
    <w:p>
      <w:pPr>
        <w:numPr>
          <w:ilvl w:val="0"/>
          <w:numId w:val="1007"/>
        </w:numPr>
        <w:pStyle w:val="Compact"/>
      </w:pPr>
      <w:r>
        <w:t xml:space="preserve">REG-EX-01 Exceptions Register</w:t>
      </w:r>
    </w:p>
    <w:p>
      <w:pPr>
        <w:numPr>
          <w:ilvl w:val="0"/>
          <w:numId w:val="1007"/>
        </w:numPr>
        <w:pStyle w:val="Compact"/>
      </w:pPr>
      <w:r>
        <w:t xml:space="preserve">STD-LOG-01 SIEM and Central Logging Configuration Standard</w:t>
      </w:r>
    </w:p>
    <w:p>
      <w:pPr>
        <w:numPr>
          <w:ilvl w:val="0"/>
          <w:numId w:val="1007"/>
        </w:numPr>
        <w:pStyle w:val="Compact"/>
      </w:pPr>
      <w:r>
        <w:t xml:space="preserve">RPT-Vulnerability-Scan-Summary-Q1-2026</w:t>
      </w:r>
    </w:p>
    <w:p>
      <w:pPr>
        <w:numPr>
          <w:ilvl w:val="0"/>
          <w:numId w:val="1007"/>
        </w:numPr>
        <w:pStyle w:val="Compact"/>
      </w:pPr>
      <w:r>
        <w:t xml:space="preserve">RPT-Annual-Penetration-Test-Executive-Summary-2025</w:t>
      </w:r>
    </w:p>
    <w:p>
      <w:pPr>
        <w:numPr>
          <w:ilvl w:val="0"/>
          <w:numId w:val="1007"/>
        </w:numPr>
        <w:pStyle w:val="Compact"/>
      </w:pPr>
      <w:r>
        <w:t xml:space="preserve">POL-TPRM-01 Third-Party Risk Management Policy</w:t>
      </w:r>
    </w:p>
    <w:p>
      <w:pPr>
        <w:numPr>
          <w:ilvl w:val="0"/>
          <w:numId w:val="1007"/>
        </w:numPr>
        <w:pStyle w:val="Compact"/>
      </w:pPr>
      <w:r>
        <w:t xml:space="preserve">45 CFR §164.308(a)(5)(ii)(B) HIPAA — protection from malicious software</w:t>
      </w:r>
    </w:p>
    <w:p>
      <w:pPr>
        <w:pStyle w:val="Heading2"/>
      </w:pPr>
      <w:bookmarkStart w:id="40" w:name="X4242814d05d3c3546a5518e746c712e8af18524"/>
      <w:r>
        <w:t xml:space="preserve">11. Document Control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2019-09</w:t>
            </w:r>
          </w:p>
        </w:tc>
        <w:tc>
          <w:p>
            <w:pPr>
              <w:pStyle w:val="Compact"/>
              <w:jc w:val="left"/>
            </w:pPr>
            <w:r>
              <w:t xml:space="preserve">M. Chen (former CTO)</w:t>
            </w:r>
          </w:p>
        </w:tc>
        <w:tc>
          <w:p>
            <w:pPr>
              <w:pStyle w:val="Compact"/>
              <w:jc w:val="left"/>
            </w:pPr>
            <w:r>
              <w:t xml:space="preserve">Initial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2022-11</w:t>
            </w:r>
          </w:p>
        </w:tc>
        <w:tc>
          <w:p>
            <w:pPr>
              <w:pStyle w:val="Compact"/>
              <w:jc w:val="left"/>
            </w:pPr>
            <w:r>
              <w:t xml:space="preserve">A. Reyes (predecessor)</w:t>
            </w:r>
          </w:p>
        </w:tc>
        <w:tc>
          <w:p>
            <w:pPr>
              <w:pStyle w:val="Compact"/>
              <w:jc w:val="left"/>
            </w:pPr>
            <w:r>
              <w:t xml:space="preserve">AWS-native rewrite; introduced container patching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2024-03</w:t>
            </w:r>
          </w:p>
        </w:tc>
        <w:tc>
          <w:p>
            <w:pPr>
              <w:pStyle w:val="Compact"/>
              <w:jc w:val="left"/>
            </w:pPr>
            <w:r>
              <w:t xml:space="preserve">A. Reyes</w:t>
            </w:r>
          </w:p>
        </w:tc>
        <w:tc>
          <w:p>
            <w:pPr>
              <w:pStyle w:val="Compact"/>
              <w:jc w:val="left"/>
            </w:pPr>
            <w:r>
              <w:t xml:space="preserve">Snyk/Wiz/GHAS unified workflow; added Renovate auto-merge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2025-02</w:t>
            </w:r>
          </w:p>
        </w:tc>
        <w:tc>
          <w:p>
            <w:pPr>
              <w:pStyle w:val="Compact"/>
              <w:jc w:val="left"/>
            </w:pPr>
            <w:r>
              <w:t xml:space="preserve">A. Reyes</w:t>
            </w:r>
          </w:p>
        </w:tc>
        <w:tc>
          <w:p>
            <w:pPr>
              <w:pStyle w:val="Compact"/>
              <w:jc w:val="left"/>
            </w:pPr>
            <w:r>
              <w:t xml:space="preserve">Added KEV uplift; legacy ETL §7 explicit; CRA-LegacyETL-2025 referenced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2025-08</w:t>
            </w:r>
          </w:p>
        </w:tc>
        <w:tc>
          <w:p>
            <w:pPr>
              <w:pStyle w:val="Compact"/>
              <w:jc w:val="left"/>
            </w:pPr>
            <w:r>
              <w:t xml:space="preserve">A. Reyes</w:t>
            </w:r>
          </w:p>
        </w:tc>
        <w:tc>
          <w:p>
            <w:pPr>
              <w:pStyle w:val="Compact"/>
              <w:jc w:val="left"/>
            </w:pPr>
            <w:r>
              <w:t xml:space="preserve">Added Wiz "toxic combinations" override; minor cleanup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A. Reyes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review; Q1 2026 KPI snapshot; EX-2026-014 added; clarified vendor-managed scope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2026-04-30T19:08:43Z</dcterms:created>
  <dcterms:modified xsi:type="dcterms:W3CDTF">2026-04-30T19:08:43Z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