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ulnerability-scan-summary--q1-2026"/>
      <w:r>
        <w:t xml:space="preserve">Vulnerability Scan Summary — Q1 2026</w:t>
      </w:r>
      <w:bookmarkEnd w:id="20"/>
    </w:p>
    <w:p>
      <w:pPr>
        <w:pStyle w:val="FirstParagraph"/>
      </w:pPr>
      <w:r>
        <w:rPr>
          <w:b/>
        </w:rPr>
        <w:t xml:space="preserve">Document ID:</w:t>
      </w:r>
      <w:r>
        <w:t xml:space="preserve"> </w:t>
      </w:r>
      <w:r>
        <w:t xml:space="preserve">RPT-VULN-Q1-2026</w:t>
      </w:r>
      <w:r>
        <w:t xml:space="preserve"> </w:t>
      </w:r>
      <w:r>
        <w:rPr>
          <w:b/>
        </w:rPr>
        <w:t xml:space="preserve">Reporting period:</w:t>
      </w:r>
      <w:r>
        <w:t xml:space="preserve"> </w:t>
      </w:r>
      <w:r>
        <w:t xml:space="preserve">January 1, 2026 – March 31, 2026</w:t>
      </w:r>
      <w:r>
        <w:t xml:space="preserve"> </w:t>
      </w:r>
      <w:r>
        <w:rPr>
          <w:b/>
        </w:rPr>
        <w:t xml:space="preserve">Date issued:</w:t>
      </w:r>
      <w:r>
        <w:t xml:space="preserve"> </w:t>
      </w:r>
      <w:r>
        <w:t xml:space="preserve">April 10, 2026</w:t>
      </w:r>
      <w:r>
        <w:t xml:space="preserve"> </w:t>
      </w:r>
      <w:r>
        <w:rPr>
          <w:b/>
        </w:rPr>
        <w:t xml:space="preserve">Approver:</w:t>
      </w:r>
      <w:r>
        <w:t xml:space="preserve"> </w:t>
      </w:r>
      <w:r>
        <w:t xml:space="preserve">Sarah Yoon, CISO</w:t>
      </w:r>
      <w:r>
        <w:t xml:space="preserve"> </w:t>
      </w:r>
      <w:r>
        <w:rPr>
          <w:b/>
        </w:rPr>
        <w:t xml:space="preserve">Author:</w:t>
      </w:r>
      <w:r>
        <w:t xml:space="preserve"> </w:t>
      </w:r>
      <w:r>
        <w:t xml:space="preserve">Alicia Reyes, Security Engineer (Cloud/AppSec)</w:t>
      </w:r>
      <w:r>
        <w:t xml:space="preserve"> </w:t>
      </w:r>
      <w:r>
        <w:rPr>
          <w:b/>
        </w:rPr>
        <w:t xml:space="preserve">Distribution:</w:t>
      </w:r>
      <w:r>
        <w:t xml:space="preserve"> </w:t>
      </w:r>
      <w:r>
        <w:t xml:space="preserve">Security Steering Committee; Audit &amp; Risk Committee read-only; HITRUST evidence repository (Hyperproof)</w:t>
      </w:r>
    </w:p>
    <w:p>
      <w:r>
        <w:pict>
          <v:rect style="width:0;height:1.5pt" o:hralign="center" o:hrstd="t" o:hr="t"/>
        </w:pict>
      </w:r>
    </w:p>
    <w:p>
      <w:pPr>
        <w:pStyle w:val="Heading2"/>
      </w:pPr>
      <w:bookmarkStart w:id="21" w:name="X102b2e9de4183984340b81b0bb402a984d3925a"/>
      <w:r>
        <w:t xml:space="preserve">1. Executive Summary</w:t>
      </w:r>
      <w:bookmarkEnd w:id="21"/>
    </w:p>
    <w:p>
      <w:pPr>
        <w:pStyle w:val="FirstParagraph"/>
      </w:pPr>
      <w:r>
        <w:t xml:space="preserve">Vulnerability management for Q1 2026 met SLA targets for critical and high findings (97% and 92% respectively) and showed steady improvement against Q4 2025 in time-to-remediate. The total open finding count decreased 11% quarter over quarter. Two weaknesses persist:</w:t>
      </w:r>
    </w:p>
    <w:p>
      <w:pPr>
        <w:numPr>
          <w:ilvl w:val="0"/>
          <w:numId w:val="1001"/>
        </w:numPr>
        <w:pStyle w:val="Compact"/>
      </w:pPr>
      <w:r>
        <w:t xml:space="preserve">The</w:t>
      </w:r>
      <w:r>
        <w:t xml:space="preserve"> </w:t>
      </w:r>
      <w:r>
        <w:rPr>
          <w:b/>
        </w:rPr>
        <w:t xml:space="preserve">legacy on-premises ETL cluster</w:t>
      </w:r>
      <w:r>
        <w:t xml:space="preserve"> </w:t>
      </w:r>
      <w:r>
        <w:t xml:space="preserve">(Raleigh HQ) continues to operate on a quarterly manual scan cadence and a manual patch cadence, in line with its scheduled Q4 2026 decommission. Findings on this asset are reported separately in §6 and remediated under compensating controls per CRA-LegacyETL-2025. This is the operational manifestation of RISK R4 (PHI flow visibility / patching gap on the legacy ETL).</w:t>
      </w:r>
    </w:p>
    <w:p>
      <w:pPr>
        <w:numPr>
          <w:ilvl w:val="0"/>
          <w:numId w:val="1001"/>
        </w:numPr>
        <w:pStyle w:val="Compact"/>
      </w:pPr>
      <w:r>
        <w:rPr>
          <w:b/>
        </w:rPr>
        <w:t xml:space="preserve">High-severity SLA compliance at 92% remains below the 95% internal target.</w:t>
      </w:r>
      <w:r>
        <w:t xml:space="preserve"> </w:t>
      </w:r>
      <w:r>
        <w:t xml:space="preserve">Two high findings aged past 30 days during the quarter; both were on a third-party container base image dependent on an upstream maintainer release. Compensating controls applied; root cause covered in §7.</w:t>
      </w:r>
    </w:p>
    <w:p>
      <w:pPr>
        <w:pStyle w:val="FirstParagraph"/>
      </w:pPr>
      <w:r>
        <w:t xml:space="preserve">No critical findings exceeded the 14-day SLA in Q1 2026. No vulnerabilities resulted in a security incident this quarter.</w:t>
      </w:r>
    </w:p>
    <w:p>
      <w:pPr>
        <w:pStyle w:val="Heading2"/>
      </w:pPr>
      <w:bookmarkStart w:id="22" w:name="X4a175c5190cbb8b103ad115f40b2cf9140b8948"/>
      <w:r>
        <w:t xml:space="preserve">2. Scope and Methodology</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Asset class</w:t>
            </w:r>
          </w:p>
        </w:tc>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Owner</w:t>
            </w:r>
          </w:p>
        </w:tc>
      </w:tr>
      <w:tr>
        <w:tc>
          <w:p>
            <w:pPr>
              <w:pStyle w:val="Compact"/>
              <w:jc w:val="left"/>
            </w:pPr>
            <w:r>
              <w:t xml:space="preserve">AWS cloud posture (all production accounts; us-east-1, us-west-2)</w:t>
            </w:r>
          </w:p>
        </w:tc>
        <w:tc>
          <w:p>
            <w:pPr>
              <w:pStyle w:val="Compact"/>
              <w:jc w:val="left"/>
            </w:pPr>
            <w:r>
              <w:t xml:space="preserve">Wiz CSPM</w:t>
            </w:r>
          </w:p>
        </w:tc>
        <w:tc>
          <w:p>
            <w:pPr>
              <w:pStyle w:val="Compact"/>
              <w:jc w:val="left"/>
            </w:pPr>
            <w:r>
              <w:t xml:space="preserve">Continuous</w:t>
            </w:r>
          </w:p>
        </w:tc>
        <w:tc>
          <w:p>
            <w:pPr>
              <w:pStyle w:val="Compact"/>
              <w:jc w:val="left"/>
            </w:pPr>
            <w:r>
              <w:t xml:space="preserve">A. Reyes</w:t>
            </w:r>
          </w:p>
        </w:tc>
      </w:tr>
      <w:tr>
        <w:tc>
          <w:p>
            <w:pPr>
              <w:pStyle w:val="Compact"/>
              <w:jc w:val="left"/>
            </w:pPr>
            <w:r>
              <w:t xml:space="preserve">Container images (all images deployed to EKS)</w:t>
            </w:r>
          </w:p>
        </w:tc>
        <w:tc>
          <w:p>
            <w:pPr>
              <w:pStyle w:val="Compact"/>
              <w:jc w:val="left"/>
            </w:pPr>
            <w:r>
              <w:t xml:space="preserve">Wiz (runtime) + Snyk Container</w:t>
            </w:r>
          </w:p>
        </w:tc>
        <w:tc>
          <w:p>
            <w:pPr>
              <w:pStyle w:val="Compact"/>
              <w:jc w:val="left"/>
            </w:pPr>
            <w:r>
              <w:t xml:space="preserve">Continuous + on-build</w:t>
            </w:r>
          </w:p>
        </w:tc>
        <w:tc>
          <w:p>
            <w:pPr>
              <w:pStyle w:val="Compact"/>
              <w:jc w:val="left"/>
            </w:pPr>
            <w:r>
              <w:t xml:space="preserve">A. Reyes</w:t>
            </w:r>
          </w:p>
        </w:tc>
      </w:tr>
      <w:tr>
        <w:tc>
          <w:p>
            <w:pPr>
              <w:pStyle w:val="Compact"/>
              <w:jc w:val="left"/>
            </w:pPr>
            <w:r>
              <w:t xml:space="preserve">Application source code and OSS dependencies</w:t>
            </w:r>
          </w:p>
        </w:tc>
        <w:tc>
          <w:p>
            <w:pPr>
              <w:pStyle w:val="Compact"/>
              <w:jc w:val="left"/>
            </w:pPr>
            <w:r>
              <w:t xml:space="preserve">Snyk Open Source + Snyk Code</w:t>
            </w:r>
          </w:p>
        </w:tc>
        <w:tc>
          <w:p>
            <w:pPr>
              <w:pStyle w:val="Compact"/>
              <w:jc w:val="left"/>
            </w:pPr>
            <w:r>
              <w:t xml:space="preserve">On every PR + nightly</w:t>
            </w:r>
          </w:p>
        </w:tc>
        <w:tc>
          <w:p>
            <w:pPr>
              <w:pStyle w:val="Compact"/>
              <w:jc w:val="left"/>
            </w:pPr>
            <w:r>
              <w:t xml:space="preserve">A. Reyes</w:t>
            </w:r>
          </w:p>
        </w:tc>
      </w:tr>
      <w:tr>
        <w:tc>
          <w:p>
            <w:pPr>
              <w:pStyle w:val="Compact"/>
              <w:jc w:val="left"/>
            </w:pPr>
            <w:r>
              <w:t xml:space="preserve">GitHub-hosted repositories (secret scanning, code scanning)</w:t>
            </w:r>
          </w:p>
        </w:tc>
        <w:tc>
          <w:p>
            <w:pPr>
              <w:pStyle w:val="Compact"/>
              <w:jc w:val="left"/>
            </w:pPr>
            <w:r>
              <w:t xml:space="preserve">GitHub Advanced Security (CodeQL + Secret Scanning + Dependabot)</w:t>
            </w:r>
          </w:p>
        </w:tc>
        <w:tc>
          <w:p>
            <w:pPr>
              <w:pStyle w:val="Compact"/>
              <w:jc w:val="left"/>
            </w:pPr>
            <w:r>
              <w:t xml:space="preserve">Continuous</w:t>
            </w:r>
          </w:p>
        </w:tc>
        <w:tc>
          <w:p>
            <w:pPr>
              <w:pStyle w:val="Compact"/>
              <w:jc w:val="left"/>
            </w:pPr>
            <w:r>
              <w:t xml:space="preserve">A. Reyes</w:t>
            </w:r>
          </w:p>
        </w:tc>
      </w:tr>
      <w:tr>
        <w:tc>
          <w:p>
            <w:pPr>
              <w:pStyle w:val="Compact"/>
              <w:jc w:val="left"/>
            </w:pPr>
            <w:r>
              <w:t xml:space="preserve">Managed endpoints (laptops)</w:t>
            </w:r>
          </w:p>
        </w:tc>
        <w:tc>
          <w:p>
            <w:pPr>
              <w:pStyle w:val="Compact"/>
              <w:jc w:val="left"/>
            </w:pPr>
            <w:r>
              <w:t xml:space="preserve">CrowdStrike Falcon Spotlight + Jamf Pro / Intune update reports</w:t>
            </w:r>
          </w:p>
        </w:tc>
        <w:tc>
          <w:p>
            <w:pPr>
              <w:pStyle w:val="Compact"/>
              <w:jc w:val="left"/>
            </w:pPr>
            <w:r>
              <w:t xml:space="preserve">Continuous</w:t>
            </w:r>
          </w:p>
        </w:tc>
        <w:tc>
          <w:p>
            <w:pPr>
              <w:pStyle w:val="Compact"/>
              <w:jc w:val="left"/>
            </w:pPr>
            <w:r>
              <w:t xml:space="preserve">M. Tan</w:t>
            </w:r>
          </w:p>
        </w:tc>
      </w:tr>
      <w:tr>
        <w:tc>
          <w:p>
            <w:pPr>
              <w:pStyle w:val="Compact"/>
              <w:jc w:val="left"/>
            </w:pPr>
            <w:r>
              <w:t xml:space="preserve">Microsoft 365, Okta</w:t>
            </w:r>
          </w:p>
        </w:tc>
        <w:tc>
          <w:p>
            <w:pPr>
              <w:pStyle w:val="Compact"/>
              <w:jc w:val="left"/>
            </w:pPr>
            <w:r>
              <w:t xml:space="preserve">Vendor security posture (no scanner)</w:t>
            </w:r>
          </w:p>
        </w:tc>
        <w:tc>
          <w:p>
            <w:pPr>
              <w:pStyle w:val="Compact"/>
              <w:jc w:val="left"/>
            </w:pPr>
            <w:r>
              <w:t xml:space="preserve">Vendor-attested + Vanta evidence</w:t>
            </w:r>
          </w:p>
        </w:tc>
        <w:tc>
          <w:p>
            <w:pPr>
              <w:pStyle w:val="Compact"/>
              <w:jc w:val="left"/>
            </w:pPr>
            <w:r>
              <w:t xml:space="preserve">J. Park</w:t>
            </w:r>
          </w:p>
        </w:tc>
      </w:tr>
      <w:tr>
        <w:tc>
          <w:p>
            <w:pPr>
              <w:pStyle w:val="Compact"/>
              <w:jc w:val="left"/>
            </w:pPr>
            <w:r>
              <w:t xml:space="preserve">Aurora PostgreSQL, Snowflake</w:t>
            </w:r>
          </w:p>
        </w:tc>
        <w:tc>
          <w:p>
            <w:pPr>
              <w:pStyle w:val="Compact"/>
              <w:jc w:val="left"/>
            </w:pPr>
            <w:r>
              <w:t xml:space="preserve">Vendor-managed (RDS/Snowflake patching SLAs)</w:t>
            </w:r>
          </w:p>
        </w:tc>
        <w:tc>
          <w:p>
            <w:pPr>
              <w:pStyle w:val="Compact"/>
              <w:jc w:val="left"/>
            </w:pPr>
            <w:r>
              <w:t xml:space="preserve">Vendor-managed</w:t>
            </w:r>
          </w:p>
        </w:tc>
        <w:tc>
          <w:p>
            <w:pPr>
              <w:pStyle w:val="Compact"/>
              <w:jc w:val="left"/>
            </w:pPr>
            <w:r>
              <w:t xml:space="preserve">A. Reyes</w:t>
            </w:r>
          </w:p>
        </w:tc>
      </w:tr>
      <w:tr>
        <w:tc>
          <w:p>
            <w:pPr>
              <w:pStyle w:val="Compact"/>
              <w:jc w:val="left"/>
            </w:pPr>
            <w:r>
              <w:rPr>
                <w:b/>
              </w:rPr>
              <w:t xml:space="preserve">Legacy ETL cluster (Raleigh)</w:t>
            </w:r>
          </w:p>
        </w:tc>
        <w:tc>
          <w:p>
            <w:pPr>
              <w:pStyle w:val="Compact"/>
              <w:jc w:val="left"/>
            </w:pPr>
            <w:r>
              <w:t xml:space="preserve">Manual Nessus Professional scan + manual review</w:t>
            </w:r>
          </w:p>
        </w:tc>
        <w:tc>
          <w:p>
            <w:pPr>
              <w:pStyle w:val="Compact"/>
              <w:jc w:val="left"/>
            </w:pPr>
            <w:r>
              <w:rPr>
                <w:b/>
              </w:rPr>
              <w:t xml:space="preserve">Quarterly</w:t>
            </w:r>
          </w:p>
        </w:tc>
        <w:tc>
          <w:p>
            <w:pPr>
              <w:pStyle w:val="Compact"/>
              <w:jc w:val="left"/>
            </w:pPr>
            <w:r>
              <w:t xml:space="preserve">A. Reyes</w:t>
            </w:r>
          </w:p>
        </w:tc>
      </w:tr>
    </w:tbl>
    <w:p>
      <w:pPr>
        <w:pStyle w:val="BodyText"/>
      </w:pPr>
      <w:r>
        <w:t xml:space="preserve">Wiz, Snyk, and GHAS findings flow into a unified backlog in Hyperproof (HITRUST evidence repository) tagged with severity, asset, owner, and SLA clock. Manual ETL findings are tracked in a separate Hyperproof project that explicitly cross-references RISK R4.</w:t>
      </w:r>
    </w:p>
    <w:p>
      <w:pPr>
        <w:pStyle w:val="BodyText"/>
      </w:pPr>
      <w:r>
        <w:t xml:space="preserve">Severity ratings follow CVSS 3.1 base + CISA KEV catalog uplift (any KEV-listed CVE auto-promotes to Critical regardless of base score).</w:t>
      </w:r>
    </w:p>
    <w:p>
      <w:pPr>
        <w:pStyle w:val="Heading2"/>
      </w:pPr>
      <w:bookmarkStart w:id="23" w:name="X9d6a27acfea0789a0aceca9bfc177fb28505e0d"/>
      <w:r>
        <w:t xml:space="preserve">3. Open Findings by Severity (as of March 31, 2026)</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Open count</w:t>
            </w:r>
          </w:p>
        </w:tc>
        <w:tc>
          <w:tcPr>
            <w:tcBorders>
              <w:bottom w:val="single"/>
            </w:tcBorders>
            <w:vAlign w:val="bottom"/>
          </w:tcPr>
          <w:p>
            <w:pPr>
              <w:pStyle w:val="Compact"/>
              <w:jc w:val="left"/>
            </w:pPr>
            <w:r>
              <w:t xml:space="preserve">Within SLA</w:t>
            </w:r>
          </w:p>
        </w:tc>
        <w:tc>
          <w:tcPr>
            <w:tcBorders>
              <w:bottom w:val="single"/>
            </w:tcBorders>
            <w:vAlign w:val="bottom"/>
          </w:tcPr>
          <w:p>
            <w:pPr>
              <w:pStyle w:val="Compact"/>
              <w:jc w:val="left"/>
            </w:pPr>
            <w:r>
              <w:t xml:space="preserve">Past SLA</w:t>
            </w:r>
          </w:p>
        </w:tc>
        <w:tc>
          <w:tcPr>
            <w:tcBorders>
              <w:bottom w:val="single"/>
            </w:tcBorders>
            <w:vAlign w:val="bottom"/>
          </w:tcPr>
          <w:p>
            <w:pPr>
              <w:pStyle w:val="Compact"/>
              <w:jc w:val="left"/>
            </w:pPr>
            <w:r>
              <w:t xml:space="preserve">SLA compliance</w:t>
            </w:r>
          </w:p>
        </w:tc>
      </w:tr>
      <w:tr>
        <w:tc>
          <w:p>
            <w:pPr>
              <w:pStyle w:val="Compact"/>
              <w:jc w:val="left"/>
            </w:pPr>
            <w:r>
              <w:t xml:space="preserve">Critical (14-day SLA)</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100% in-window; 97% on rolling 90-day measure</w:t>
            </w:r>
          </w:p>
        </w:tc>
      </w:tr>
      <w:tr>
        <w:tc>
          <w:p>
            <w:pPr>
              <w:pStyle w:val="Compact"/>
              <w:jc w:val="left"/>
            </w:pPr>
            <w:r>
              <w:t xml:space="preserve">High (30-day SLA)</w:t>
            </w:r>
          </w:p>
        </w:tc>
        <w:tc>
          <w:p>
            <w:pPr>
              <w:pStyle w:val="Compact"/>
              <w:jc w:val="left"/>
            </w:pPr>
            <w:r>
              <w:t xml:space="preserve">31</w:t>
            </w:r>
          </w:p>
        </w:tc>
        <w:tc>
          <w:p>
            <w:pPr>
              <w:pStyle w:val="Compact"/>
              <w:jc w:val="left"/>
            </w:pPr>
            <w:r>
              <w:t xml:space="preserve">28</w:t>
            </w:r>
          </w:p>
        </w:tc>
        <w:tc>
          <w:p>
            <w:pPr>
              <w:pStyle w:val="Compact"/>
              <w:jc w:val="left"/>
            </w:pPr>
            <w:r>
              <w:t xml:space="preserve">3</w:t>
            </w:r>
          </w:p>
        </w:tc>
        <w:tc>
          <w:p>
            <w:pPr>
              <w:pStyle w:val="Compact"/>
              <w:jc w:val="left"/>
            </w:pPr>
            <w:r>
              <w:t xml:space="preserve">90% in-window; 92% on rolling 90-day measure</w:t>
            </w:r>
          </w:p>
        </w:tc>
      </w:tr>
      <w:tr>
        <w:tc>
          <w:p>
            <w:pPr>
              <w:pStyle w:val="Compact"/>
              <w:jc w:val="left"/>
            </w:pPr>
            <w:r>
              <w:t xml:space="preserve">Medium (90-day SLA)</w:t>
            </w:r>
          </w:p>
        </w:tc>
        <w:tc>
          <w:p>
            <w:pPr>
              <w:pStyle w:val="Compact"/>
              <w:jc w:val="left"/>
            </w:pPr>
            <w:r>
              <w:t xml:space="preserve">142</w:t>
            </w:r>
          </w:p>
        </w:tc>
        <w:tc>
          <w:p>
            <w:pPr>
              <w:pStyle w:val="Compact"/>
              <w:jc w:val="left"/>
            </w:pPr>
            <w:r>
              <w:t xml:space="preserve">138</w:t>
            </w:r>
          </w:p>
        </w:tc>
        <w:tc>
          <w:p>
            <w:pPr>
              <w:pStyle w:val="Compact"/>
              <w:jc w:val="left"/>
            </w:pPr>
            <w:r>
              <w:t xml:space="preserve">4</w:t>
            </w:r>
          </w:p>
        </w:tc>
        <w:tc>
          <w:p>
            <w:pPr>
              <w:pStyle w:val="Compact"/>
              <w:jc w:val="left"/>
            </w:pPr>
            <w:r>
              <w:t xml:space="preserve">97%</w:t>
            </w:r>
          </w:p>
        </w:tc>
      </w:tr>
      <w:tr>
        <w:tc>
          <w:p>
            <w:pPr>
              <w:pStyle w:val="Compact"/>
              <w:jc w:val="left"/>
            </w:pPr>
            <w:r>
              <w:t xml:space="preserve">Low (180-day SLA)</w:t>
            </w:r>
          </w:p>
        </w:tc>
        <w:tc>
          <w:p>
            <w:pPr>
              <w:pStyle w:val="Compact"/>
              <w:jc w:val="left"/>
            </w:pPr>
            <w:r>
              <w:t xml:space="preserve">287</w:t>
            </w:r>
          </w:p>
        </w:tc>
        <w:tc>
          <w:p>
            <w:pPr>
              <w:pStyle w:val="Compact"/>
              <w:jc w:val="left"/>
            </w:pPr>
            <w:r>
              <w:t xml:space="preserve">287</w:t>
            </w:r>
          </w:p>
        </w:tc>
        <w:tc>
          <w:p>
            <w:pPr>
              <w:pStyle w:val="Compact"/>
              <w:jc w:val="left"/>
            </w:pPr>
            <w:r>
              <w:t xml:space="preserve">0</w:t>
            </w:r>
          </w:p>
        </w:tc>
        <w:tc>
          <w:p>
            <w:pPr>
              <w:pStyle w:val="Compact"/>
              <w:jc w:val="left"/>
            </w:pPr>
            <w:r>
              <w:t xml:space="preserve">100%</w:t>
            </w:r>
          </w:p>
        </w:tc>
      </w:tr>
      <w:tr>
        <w:tc>
          <w:p>
            <w:pPr>
              <w:pStyle w:val="Compact"/>
              <w:jc w:val="left"/>
            </w:pPr>
            <w:r>
              <w:rPr>
                <w:b/>
              </w:rPr>
              <w:t xml:space="preserve">Total</w:t>
            </w:r>
          </w:p>
        </w:tc>
        <w:tc>
          <w:p>
            <w:pPr>
              <w:pStyle w:val="Compact"/>
              <w:jc w:val="left"/>
            </w:pPr>
            <w:r>
              <w:rPr>
                <w:b/>
              </w:rPr>
              <w:t xml:space="preserve">466</w:t>
            </w:r>
          </w:p>
        </w:tc>
        <w:tc>
          <w:p>
            <w:pPr>
              <w:pStyle w:val="Compact"/>
              <w:jc w:val="left"/>
            </w:pPr>
            <w:r>
              <w:rPr>
                <w:b/>
              </w:rPr>
              <w:t xml:space="preserve">459</w:t>
            </w:r>
          </w:p>
        </w:tc>
        <w:tc>
          <w:p>
            <w:pPr>
              <w:pStyle w:val="Compact"/>
              <w:jc w:val="left"/>
            </w:pPr>
            <w:r>
              <w:rPr>
                <w:b/>
              </w:rPr>
              <w:t xml:space="preserve">7</w:t>
            </w:r>
          </w:p>
        </w:tc>
        <w:tc>
          <w:p>
            <w:pPr>
              <w:pStyle w:val="Compact"/>
              <w:jc w:val="left"/>
            </w:pPr>
            <w:r>
              <w:rPr>
                <w:b/>
              </w:rPr>
              <w:t xml:space="preserve">98.5%</w:t>
            </w:r>
          </w:p>
        </w:tc>
      </w:tr>
    </w:tbl>
    <w:p>
      <w:pPr>
        <w:pStyle w:val="BodyText"/>
      </w:pPr>
      <w:r>
        <w:t xml:space="preserve">The headline rolling-90-day SLA compliance rates are</w:t>
      </w:r>
      <w:r>
        <w:t xml:space="preserve"> </w:t>
      </w:r>
      <w:r>
        <w:rPr>
          <w:b/>
        </w:rPr>
        <w:t xml:space="preserve">97% (critical)</w:t>
      </w:r>
      <w:r>
        <w:t xml:space="preserve"> </w:t>
      </w:r>
      <w:r>
        <w:t xml:space="preserve">and</w:t>
      </w:r>
      <w:r>
        <w:t xml:space="preserve"> </w:t>
      </w:r>
      <w:r>
        <w:rPr>
          <w:b/>
        </w:rPr>
        <w:t xml:space="preserve">92% (high)</w:t>
      </w:r>
      <w:r>
        <w:t xml:space="preserve">, against internal targets of 100% and 95%. Q1 2026 is the third consecutive quarter at or above the prior FY25 critical target of 95%.</w:t>
      </w:r>
    </w:p>
    <w:p>
      <w:pPr>
        <w:pStyle w:val="Heading2"/>
      </w:pPr>
      <w:bookmarkStart w:id="24" w:name="Xffa52a29128801c064c9a1dfb3ab9107bb073a4"/>
      <w:r>
        <w:t xml:space="preserve">4. Trend vs. Prior Quarter</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Q4 2025</w:t>
            </w:r>
          </w:p>
        </w:tc>
        <w:tc>
          <w:tcPr>
            <w:tcBorders>
              <w:bottom w:val="single"/>
            </w:tcBorders>
            <w:vAlign w:val="bottom"/>
          </w:tcPr>
          <w:p>
            <w:pPr>
              <w:pStyle w:val="Compact"/>
              <w:jc w:val="left"/>
            </w:pPr>
            <w:r>
              <w:t xml:space="preserve">Q1 2026</w:t>
            </w:r>
          </w:p>
        </w:tc>
        <w:tc>
          <w:tcPr>
            <w:tcBorders>
              <w:bottom w:val="single"/>
            </w:tcBorders>
            <w:vAlign w:val="bottom"/>
          </w:tcPr>
          <w:p>
            <w:pPr>
              <w:pStyle w:val="Compact"/>
              <w:jc w:val="left"/>
            </w:pPr>
            <w:r>
              <w:t xml:space="preserve">Direction</w:t>
            </w:r>
          </w:p>
        </w:tc>
      </w:tr>
      <w:tr>
        <w:tc>
          <w:p>
            <w:pPr>
              <w:pStyle w:val="Compact"/>
              <w:jc w:val="left"/>
            </w:pPr>
            <w:r>
              <w:t xml:space="preserve">Total open findings (all severities)</w:t>
            </w:r>
          </w:p>
        </w:tc>
        <w:tc>
          <w:p>
            <w:pPr>
              <w:pStyle w:val="Compact"/>
              <w:jc w:val="left"/>
            </w:pPr>
            <w:r>
              <w:t xml:space="preserve">522</w:t>
            </w:r>
          </w:p>
        </w:tc>
        <w:tc>
          <w:p>
            <w:pPr>
              <w:pStyle w:val="Compact"/>
              <w:jc w:val="left"/>
            </w:pPr>
            <w:r>
              <w:t xml:space="preserve">466</w:t>
            </w:r>
          </w:p>
        </w:tc>
        <w:tc>
          <w:p>
            <w:pPr>
              <w:pStyle w:val="Compact"/>
              <w:jc w:val="left"/>
            </w:pPr>
            <w:r>
              <w:t xml:space="preserve">-10.7%</w:t>
            </w:r>
          </w:p>
        </w:tc>
      </w:tr>
      <w:tr>
        <w:tc>
          <w:p>
            <w:pPr>
              <w:pStyle w:val="Compact"/>
              <w:jc w:val="left"/>
            </w:pPr>
            <w:r>
              <w:t xml:space="preserve">Open critical</w:t>
            </w:r>
          </w:p>
        </w:tc>
        <w:tc>
          <w:p>
            <w:pPr>
              <w:pStyle w:val="Compact"/>
              <w:jc w:val="left"/>
            </w:pPr>
            <w:r>
              <w:t xml:space="preserve">9</w:t>
            </w:r>
          </w:p>
        </w:tc>
        <w:tc>
          <w:p>
            <w:pPr>
              <w:pStyle w:val="Compact"/>
              <w:jc w:val="left"/>
            </w:pPr>
            <w:r>
              <w:t xml:space="preserve">6</w:t>
            </w:r>
          </w:p>
        </w:tc>
        <w:tc>
          <w:p>
            <w:pPr>
              <w:pStyle w:val="Compact"/>
              <w:jc w:val="left"/>
            </w:pPr>
            <w:r>
              <w:t xml:space="preserve">-33%</w:t>
            </w:r>
          </w:p>
        </w:tc>
      </w:tr>
      <w:tr>
        <w:tc>
          <w:p>
            <w:pPr>
              <w:pStyle w:val="Compact"/>
              <w:jc w:val="left"/>
            </w:pPr>
            <w:r>
              <w:t xml:space="preserve">Open high</w:t>
            </w:r>
          </w:p>
        </w:tc>
        <w:tc>
          <w:p>
            <w:pPr>
              <w:pStyle w:val="Compact"/>
              <w:jc w:val="left"/>
            </w:pPr>
            <w:r>
              <w:t xml:space="preserve">38</w:t>
            </w:r>
          </w:p>
        </w:tc>
        <w:tc>
          <w:p>
            <w:pPr>
              <w:pStyle w:val="Compact"/>
              <w:jc w:val="left"/>
            </w:pPr>
            <w:r>
              <w:t xml:space="preserve">31</w:t>
            </w:r>
          </w:p>
        </w:tc>
        <w:tc>
          <w:p>
            <w:pPr>
              <w:pStyle w:val="Compact"/>
              <w:jc w:val="left"/>
            </w:pPr>
            <w:r>
              <w:t xml:space="preserve">-18%</w:t>
            </w:r>
          </w:p>
        </w:tc>
      </w:tr>
      <w:tr>
        <w:tc>
          <w:p>
            <w:pPr>
              <w:pStyle w:val="Compact"/>
              <w:jc w:val="left"/>
            </w:pPr>
            <w:r>
              <w:t xml:space="preserve">Mean age open critical (days)</w:t>
            </w:r>
          </w:p>
        </w:tc>
        <w:tc>
          <w:p>
            <w:pPr>
              <w:pStyle w:val="Compact"/>
              <w:jc w:val="left"/>
            </w:pPr>
            <w:r>
              <w:t xml:space="preserve">6.2</w:t>
            </w:r>
          </w:p>
        </w:tc>
        <w:tc>
          <w:p>
            <w:pPr>
              <w:pStyle w:val="Compact"/>
              <w:jc w:val="left"/>
            </w:pPr>
            <w:r>
              <w:t xml:space="preserve">4.8</w:t>
            </w:r>
          </w:p>
        </w:tc>
        <w:tc>
          <w:p>
            <w:pPr>
              <w:pStyle w:val="Compact"/>
              <w:jc w:val="left"/>
            </w:pPr>
            <w:r>
              <w:t xml:space="preserve">improved</w:t>
            </w:r>
          </w:p>
        </w:tc>
      </w:tr>
      <w:tr>
        <w:tc>
          <w:p>
            <w:pPr>
              <w:pStyle w:val="Compact"/>
              <w:jc w:val="left"/>
            </w:pPr>
            <w:r>
              <w:t xml:space="preserve">Mean age open high (days)</w:t>
            </w:r>
          </w:p>
        </w:tc>
        <w:tc>
          <w:p>
            <w:pPr>
              <w:pStyle w:val="Compact"/>
              <w:jc w:val="left"/>
            </w:pPr>
            <w:r>
              <w:t xml:space="preserve">14.1</w:t>
            </w:r>
          </w:p>
        </w:tc>
        <w:tc>
          <w:p>
            <w:pPr>
              <w:pStyle w:val="Compact"/>
              <w:jc w:val="left"/>
            </w:pPr>
            <w:r>
              <w:t xml:space="preserve">12.6</w:t>
            </w:r>
          </w:p>
        </w:tc>
        <w:tc>
          <w:p>
            <w:pPr>
              <w:pStyle w:val="Compact"/>
              <w:jc w:val="left"/>
            </w:pPr>
            <w:r>
              <w:t xml:space="preserve">improved</w:t>
            </w:r>
          </w:p>
        </w:tc>
      </w:tr>
      <w:tr>
        <w:tc>
          <w:p>
            <w:pPr>
              <w:pStyle w:val="Compact"/>
              <w:jc w:val="left"/>
            </w:pPr>
            <w:r>
              <w:t xml:space="preserve">Critical SLA compliance</w:t>
            </w:r>
          </w:p>
        </w:tc>
        <w:tc>
          <w:p>
            <w:pPr>
              <w:pStyle w:val="Compact"/>
              <w:jc w:val="left"/>
            </w:pPr>
            <w:r>
              <w:t xml:space="preserve">96%</w:t>
            </w:r>
          </w:p>
        </w:tc>
        <w:tc>
          <w:p>
            <w:pPr>
              <w:pStyle w:val="Compact"/>
              <w:jc w:val="left"/>
            </w:pPr>
            <w:r>
              <w:t xml:space="preserve">97%</w:t>
            </w:r>
          </w:p>
        </w:tc>
        <w:tc>
          <w:p>
            <w:pPr>
              <w:pStyle w:val="Compact"/>
              <w:jc w:val="left"/>
            </w:pPr>
            <w:r>
              <w:t xml:space="preserve">+1 pt</w:t>
            </w:r>
          </w:p>
        </w:tc>
      </w:tr>
      <w:tr>
        <w:tc>
          <w:p>
            <w:pPr>
              <w:pStyle w:val="Compact"/>
              <w:jc w:val="left"/>
            </w:pPr>
            <w:r>
              <w:t xml:space="preserve">High SLA compliance</w:t>
            </w:r>
          </w:p>
        </w:tc>
        <w:tc>
          <w:p>
            <w:pPr>
              <w:pStyle w:val="Compact"/>
              <w:jc w:val="left"/>
            </w:pPr>
            <w:r>
              <w:t xml:space="preserve">90%</w:t>
            </w:r>
          </w:p>
        </w:tc>
        <w:tc>
          <w:p>
            <w:pPr>
              <w:pStyle w:val="Compact"/>
              <w:jc w:val="left"/>
            </w:pPr>
            <w:r>
              <w:t xml:space="preserve">92%</w:t>
            </w:r>
          </w:p>
        </w:tc>
        <w:tc>
          <w:p>
            <w:pPr>
              <w:pStyle w:val="Compact"/>
              <w:jc w:val="left"/>
            </w:pPr>
            <w:r>
              <w:t xml:space="preserve">+2 pt</w:t>
            </w:r>
          </w:p>
        </w:tc>
      </w:tr>
      <w:tr>
        <w:tc>
          <w:p>
            <w:pPr>
              <w:pStyle w:val="Compact"/>
              <w:jc w:val="left"/>
            </w:pPr>
            <w:r>
              <w:t xml:space="preserve">Findings opened in quarter</w:t>
            </w:r>
          </w:p>
        </w:tc>
        <w:tc>
          <w:p>
            <w:pPr>
              <w:pStyle w:val="Compact"/>
              <w:jc w:val="left"/>
            </w:pPr>
            <w:r>
              <w:t xml:space="preserve">218</w:t>
            </w:r>
          </w:p>
        </w:tc>
        <w:tc>
          <w:p>
            <w:pPr>
              <w:pStyle w:val="Compact"/>
              <w:jc w:val="left"/>
            </w:pPr>
            <w:r>
              <w:t xml:space="preserve">187</w:t>
            </w:r>
          </w:p>
        </w:tc>
        <w:tc>
          <w:p>
            <w:pPr>
              <w:pStyle w:val="Compact"/>
              <w:jc w:val="left"/>
            </w:pPr>
            <w:r>
              <w:t xml:space="preserve">-14%</w:t>
            </w:r>
          </w:p>
        </w:tc>
      </w:tr>
      <w:tr>
        <w:tc>
          <w:p>
            <w:pPr>
              <w:pStyle w:val="Compact"/>
              <w:jc w:val="left"/>
            </w:pPr>
            <w:r>
              <w:t xml:space="preserve">Findings closed in quarter</w:t>
            </w:r>
          </w:p>
        </w:tc>
        <w:tc>
          <w:p>
            <w:pPr>
              <w:pStyle w:val="Compact"/>
              <w:jc w:val="left"/>
            </w:pPr>
            <w:r>
              <w:t xml:space="preserve">244</w:t>
            </w:r>
          </w:p>
        </w:tc>
        <w:tc>
          <w:p>
            <w:pPr>
              <w:pStyle w:val="Compact"/>
              <w:jc w:val="left"/>
            </w:pPr>
            <w:r>
              <w:t xml:space="preserve">243</w:t>
            </w:r>
          </w:p>
        </w:tc>
        <w:tc>
          <w:p>
            <w:pPr>
              <w:pStyle w:val="Compact"/>
              <w:jc w:val="left"/>
            </w:pPr>
            <w:r>
              <w:t xml:space="preserve">flat</w:t>
            </w:r>
          </w:p>
        </w:tc>
      </w:tr>
    </w:tbl>
    <w:p>
      <w:pPr>
        <w:pStyle w:val="Heading2"/>
      </w:pPr>
      <w:bookmarkStart w:id="25" w:name="X86695497dbe689ab51de139c20a76506b77b5e6"/>
      <w:r>
        <w:t xml:space="preserve">5. Top 10 Unresolved Findings (as of March 31, 2026)</w:t>
      </w:r>
      <w:bookmarkEnd w:id="25"/>
    </w:p>
    <w:p>
      <w:pPr>
        <w:pStyle w:val="FirstParagraph"/>
      </w:pPr>
      <w:r>
        <w:t xml:space="preserve">Listed in priority order (severity then age). Identifiers are internal Hyperproof IDs.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Asset / Component</w:t>
            </w:r>
          </w:p>
        </w:tc>
        <w:tc>
          <w:tcPr>
            <w:tcBorders>
              <w:bottom w:val="single"/>
            </w:tcBorders>
            <w:vAlign w:val="bottom"/>
          </w:tcPr>
          <w:p>
            <w:pPr>
              <w:pStyle w:val="Compact"/>
              <w:jc w:val="left"/>
            </w:pPr>
            <w:r>
              <w:t xml:space="preserve">Description (summary)</w:t>
            </w:r>
          </w:p>
        </w:tc>
        <w:tc>
          <w:tcPr>
            <w:tcBorders>
              <w:bottom w:val="single"/>
            </w:tcBorders>
            <w:vAlign w:val="bottom"/>
          </w:tcPr>
          <w:p>
            <w:pPr>
              <w:pStyle w:val="Compact"/>
              <w:jc w:val="left"/>
            </w:pPr>
            <w:r>
              <w:t xml:space="preserve">Age (days)</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VLN-2026-031</w:t>
            </w:r>
          </w:p>
        </w:tc>
        <w:tc>
          <w:p>
            <w:pPr>
              <w:pStyle w:val="Compact"/>
              <w:jc w:val="left"/>
            </w:pPr>
            <w:r>
              <w:t xml:space="preserve">Critical</w:t>
            </w:r>
          </w:p>
        </w:tc>
        <w:tc>
          <w:p>
            <w:pPr>
              <w:pStyle w:val="Compact"/>
              <w:jc w:val="left"/>
            </w:pPr>
            <w:r>
              <w:t xml:space="preserve">Container base image:</w:t>
            </w:r>
            <w:r>
              <w:t xml:space="preserve"> </w:t>
            </w:r>
            <w:r>
              <w:rPr>
                <w:rStyle w:val="VerbatimChar"/>
              </w:rPr>
              <w:t xml:space="preserve">python:3.11-slim</w:t>
            </w:r>
            <w:r>
              <w:t xml:space="preserve"> </w:t>
            </w:r>
            <w:r>
              <w:t xml:space="preserve">derivative used by</w:t>
            </w:r>
            <w:r>
              <w:t xml:space="preserve"> </w:t>
            </w:r>
            <w:r>
              <w:rPr>
                <w:rStyle w:val="VerbatimChar"/>
              </w:rPr>
              <w:t xml:space="preserve">referrals-api</w:t>
            </w:r>
          </w:p>
        </w:tc>
        <w:tc>
          <w:p>
            <w:pPr>
              <w:pStyle w:val="Compact"/>
              <w:jc w:val="left"/>
            </w:pPr>
            <w:r>
              <w:t xml:space="preserve">Upstream OpenSSL CVE; KEV-promoted</w:t>
            </w:r>
          </w:p>
        </w:tc>
        <w:tc>
          <w:p>
            <w:pPr>
              <w:pStyle w:val="Compact"/>
              <w:jc w:val="left"/>
            </w:pPr>
            <w:r>
              <w:t xml:space="preserve">11</w:t>
            </w:r>
          </w:p>
        </w:tc>
        <w:tc>
          <w:p>
            <w:pPr>
              <w:pStyle w:val="Compact"/>
              <w:jc w:val="left"/>
            </w:pPr>
            <w:r>
              <w:t xml:space="preserve">In-flight; image rebuild PR open</w:t>
            </w:r>
          </w:p>
        </w:tc>
      </w:tr>
      <w:tr>
        <w:tc>
          <w:p>
            <w:pPr>
              <w:pStyle w:val="Compact"/>
              <w:jc w:val="left"/>
            </w:pPr>
            <w:r>
              <w:t xml:space="preserve">2</w:t>
            </w:r>
          </w:p>
        </w:tc>
        <w:tc>
          <w:p>
            <w:pPr>
              <w:pStyle w:val="Compact"/>
              <w:jc w:val="left"/>
            </w:pPr>
            <w:r>
              <w:t xml:space="preserve">VLN-2026-029</w:t>
            </w:r>
          </w:p>
        </w:tc>
        <w:tc>
          <w:p>
            <w:pPr>
              <w:pStyle w:val="Compact"/>
              <w:jc w:val="left"/>
            </w:pPr>
            <w:r>
              <w:t xml:space="preserve">Critical</w:t>
            </w:r>
          </w:p>
        </w:tc>
        <w:tc>
          <w:p>
            <w:pPr>
              <w:pStyle w:val="Compact"/>
              <w:jc w:val="left"/>
            </w:pPr>
            <w:r>
              <w:t xml:space="preserve">Wiz finding: IAM role with</w:t>
            </w:r>
            <w:r>
              <w:t xml:space="preserve"> </w:t>
            </w:r>
            <w:r>
              <w:rPr>
                <w:rStyle w:val="VerbatimChar"/>
              </w:rPr>
              <w:t xml:space="preserve">*:*</w:t>
            </w:r>
            <w:r>
              <w:t xml:space="preserve"> </w:t>
            </w:r>
            <w:r>
              <w:t xml:space="preserve">permissions (legacy CI role)</w:t>
            </w:r>
          </w:p>
        </w:tc>
        <w:tc>
          <w:p>
            <w:pPr>
              <w:pStyle w:val="Compact"/>
              <w:jc w:val="left"/>
            </w:pPr>
            <w:r>
              <w:t xml:space="preserve">Over-permissive IAM in non-prod build account</w:t>
            </w:r>
          </w:p>
        </w:tc>
        <w:tc>
          <w:p>
            <w:pPr>
              <w:pStyle w:val="Compact"/>
              <w:jc w:val="left"/>
            </w:pPr>
            <w:r>
              <w:t xml:space="preserve">9</w:t>
            </w:r>
          </w:p>
        </w:tc>
        <w:tc>
          <w:p>
            <w:pPr>
              <w:pStyle w:val="Compact"/>
              <w:jc w:val="left"/>
            </w:pPr>
            <w:r>
              <w:t xml:space="preserve">Remediation in progress; replacement role in PR</w:t>
            </w:r>
          </w:p>
        </w:tc>
      </w:tr>
      <w:tr>
        <w:tc>
          <w:p>
            <w:pPr>
              <w:pStyle w:val="Compact"/>
              <w:jc w:val="left"/>
            </w:pPr>
            <w:r>
              <w:t xml:space="preserve">3</w:t>
            </w:r>
          </w:p>
        </w:tc>
        <w:tc>
          <w:p>
            <w:pPr>
              <w:pStyle w:val="Compact"/>
              <w:jc w:val="left"/>
            </w:pPr>
            <w:r>
              <w:t xml:space="preserve">VLN-2026-040</w:t>
            </w:r>
          </w:p>
        </w:tc>
        <w:tc>
          <w:p>
            <w:pPr>
              <w:pStyle w:val="Compact"/>
              <w:jc w:val="left"/>
            </w:pPr>
            <w:r>
              <w:t xml:space="preserve">Critical</w:t>
            </w:r>
          </w:p>
        </w:tc>
        <w:tc>
          <w:p>
            <w:pPr>
              <w:pStyle w:val="Compact"/>
              <w:jc w:val="left"/>
            </w:pPr>
            <w:r>
              <w:t xml:space="preserve">Aurora PostgreSQL minor version</w:t>
            </w:r>
          </w:p>
        </w:tc>
        <w:tc>
          <w:p>
            <w:pPr>
              <w:pStyle w:val="Compact"/>
              <w:jc w:val="left"/>
            </w:pPr>
            <w:r>
              <w:t xml:space="preserve">Upstream maintenance release (vendor-managed)</w:t>
            </w:r>
          </w:p>
        </w:tc>
        <w:tc>
          <w:p>
            <w:pPr>
              <w:pStyle w:val="Compact"/>
              <w:jc w:val="left"/>
            </w:pPr>
            <w:r>
              <w:t xml:space="preserve">5</w:t>
            </w:r>
          </w:p>
        </w:tc>
        <w:tc>
          <w:p>
            <w:pPr>
              <w:pStyle w:val="Compact"/>
              <w:jc w:val="left"/>
            </w:pPr>
            <w:r>
              <w:t xml:space="preserve">Maintenance window scheduled Apr 12</w:t>
            </w:r>
          </w:p>
        </w:tc>
      </w:tr>
      <w:tr>
        <w:tc>
          <w:p>
            <w:pPr>
              <w:pStyle w:val="Compact"/>
              <w:jc w:val="left"/>
            </w:pPr>
            <w:r>
              <w:t xml:space="preserve">4</w:t>
            </w:r>
          </w:p>
        </w:tc>
        <w:tc>
          <w:p>
            <w:pPr>
              <w:pStyle w:val="Compact"/>
              <w:jc w:val="left"/>
            </w:pPr>
            <w:r>
              <w:t xml:space="preserve">VLN-2026-027</w:t>
            </w:r>
          </w:p>
        </w:tc>
        <w:tc>
          <w:p>
            <w:pPr>
              <w:pStyle w:val="Compact"/>
              <w:jc w:val="left"/>
            </w:pPr>
            <w:r>
              <w:t xml:space="preserve">Critical</w:t>
            </w:r>
          </w:p>
        </w:tc>
        <w:tc>
          <w:p>
            <w:pPr>
              <w:pStyle w:val="Compact"/>
              <w:jc w:val="left"/>
            </w:pPr>
            <w:r>
              <w:t xml:space="preserve">Snyk:</w:t>
            </w:r>
            <w:r>
              <w:t xml:space="preserve"> </w:t>
            </w:r>
            <w:r>
              <w:rPr>
                <w:rStyle w:val="VerbatimChar"/>
              </w:rPr>
              <w:t xml:space="preserve">node-fetch</w:t>
            </w:r>
            <w:r>
              <w:t xml:space="preserve"> </w:t>
            </w:r>
            <w:r>
              <w:t xml:space="preserve">transitive in</w:t>
            </w:r>
            <w:r>
              <w:t xml:space="preserve"> </w:t>
            </w:r>
            <w:r>
              <w:rPr>
                <w:rStyle w:val="VerbatimChar"/>
              </w:rPr>
              <w:t xml:space="preserve">toc-ingest</w:t>
            </w:r>
          </w:p>
        </w:tc>
        <w:tc>
          <w:p>
            <w:pPr>
              <w:pStyle w:val="Compact"/>
              <w:jc w:val="left"/>
            </w:pPr>
            <w:r>
              <w:t xml:space="preserve">High-CVSS RCE-class CVE</w:t>
            </w:r>
          </w:p>
        </w:tc>
        <w:tc>
          <w:p>
            <w:pPr>
              <w:pStyle w:val="Compact"/>
              <w:jc w:val="left"/>
            </w:pPr>
            <w:r>
              <w:t xml:space="preserve">12</w:t>
            </w:r>
          </w:p>
        </w:tc>
        <w:tc>
          <w:p>
            <w:pPr>
              <w:pStyle w:val="Compact"/>
              <w:jc w:val="left"/>
            </w:pPr>
            <w:r>
              <w:t xml:space="preserve">Renovate PR open; awaiting CI</w:t>
            </w:r>
          </w:p>
        </w:tc>
      </w:tr>
      <w:tr>
        <w:tc>
          <w:p>
            <w:pPr>
              <w:pStyle w:val="Compact"/>
              <w:jc w:val="left"/>
            </w:pPr>
            <w:r>
              <w:t xml:space="preserve">5</w:t>
            </w:r>
          </w:p>
        </w:tc>
        <w:tc>
          <w:p>
            <w:pPr>
              <w:pStyle w:val="Compact"/>
              <w:jc w:val="left"/>
            </w:pPr>
            <w:r>
              <w:t xml:space="preserve">VLN-2026-035</w:t>
            </w:r>
          </w:p>
        </w:tc>
        <w:tc>
          <w:p>
            <w:pPr>
              <w:pStyle w:val="Compact"/>
              <w:jc w:val="left"/>
            </w:pPr>
            <w:r>
              <w:t xml:space="preserve">Critical</w:t>
            </w:r>
          </w:p>
        </w:tc>
        <w:tc>
          <w:p>
            <w:pPr>
              <w:pStyle w:val="Compact"/>
              <w:jc w:val="left"/>
            </w:pPr>
            <w:r>
              <w:t xml:space="preserve">Wiz: public S3 bucket policy on legacy</w:t>
            </w:r>
            <w:r>
              <w:t xml:space="preserve"> </w:t>
            </w:r>
            <w:r>
              <w:rPr>
                <w:rStyle w:val="VerbatimChar"/>
              </w:rPr>
              <w:t xml:space="preserve">mct-marketing-assets-*</w:t>
            </w:r>
          </w:p>
        </w:tc>
        <w:tc>
          <w:p>
            <w:pPr>
              <w:pStyle w:val="Compact"/>
              <w:jc w:val="left"/>
            </w:pPr>
            <w:r>
              <w:t xml:space="preserve">Public-read on non-PHI marketing bucket; risk of data integrity not confidentiality</w:t>
            </w:r>
          </w:p>
        </w:tc>
        <w:tc>
          <w:p>
            <w:pPr>
              <w:pStyle w:val="Compact"/>
              <w:jc w:val="left"/>
            </w:pPr>
            <w:r>
              <w:t xml:space="preserve">7</w:t>
            </w:r>
          </w:p>
        </w:tc>
        <w:tc>
          <w:p>
            <w:pPr>
              <w:pStyle w:val="Compact"/>
              <w:jc w:val="left"/>
            </w:pPr>
            <w:r>
              <w:t xml:space="preserve">Bucket policy correction in PR</w:t>
            </w:r>
          </w:p>
        </w:tc>
      </w:tr>
      <w:tr>
        <w:tc>
          <w:p>
            <w:pPr>
              <w:pStyle w:val="Compact"/>
              <w:jc w:val="left"/>
            </w:pPr>
            <w:r>
              <w:t xml:space="preserve">6</w:t>
            </w:r>
          </w:p>
        </w:tc>
        <w:tc>
          <w:p>
            <w:pPr>
              <w:pStyle w:val="Compact"/>
              <w:jc w:val="left"/>
            </w:pPr>
            <w:r>
              <w:t xml:space="preserve">VLN-2026-041</w:t>
            </w:r>
          </w:p>
        </w:tc>
        <w:tc>
          <w:p>
            <w:pPr>
              <w:pStyle w:val="Compact"/>
              <w:jc w:val="left"/>
            </w:pPr>
            <w:r>
              <w:t xml:space="preserve">Critical</w:t>
            </w:r>
          </w:p>
        </w:tc>
        <w:tc>
          <w:p>
            <w:pPr>
              <w:pStyle w:val="Compact"/>
              <w:jc w:val="left"/>
            </w:pPr>
            <w:r>
              <w:t xml:space="preserve">GHAS Secret Scanning: legacy AWS access key found in archived repo branch</w:t>
            </w:r>
          </w:p>
        </w:tc>
        <w:tc>
          <w:p>
            <w:pPr>
              <w:pStyle w:val="Compact"/>
              <w:jc w:val="left"/>
            </w:pPr>
            <w:r>
              <w:t xml:space="preserve">Key already rotated; remediation is repo cleanup</w:t>
            </w:r>
          </w:p>
        </w:tc>
        <w:tc>
          <w:p>
            <w:pPr>
              <w:pStyle w:val="Compact"/>
              <w:jc w:val="left"/>
            </w:pPr>
            <w:r>
              <w:t xml:space="preserve">3</w:t>
            </w:r>
          </w:p>
        </w:tc>
        <w:tc>
          <w:p>
            <w:pPr>
              <w:pStyle w:val="Compact"/>
              <w:jc w:val="left"/>
            </w:pPr>
            <w:r>
              <w:t xml:space="preserve">History rewrite scheduled</w:t>
            </w:r>
          </w:p>
        </w:tc>
      </w:tr>
      <w:tr>
        <w:tc>
          <w:p>
            <w:pPr>
              <w:pStyle w:val="Compact"/>
              <w:jc w:val="left"/>
            </w:pPr>
            <w:r>
              <w:t xml:space="preserve">7</w:t>
            </w:r>
          </w:p>
        </w:tc>
        <w:tc>
          <w:p>
            <w:pPr>
              <w:pStyle w:val="Compact"/>
              <w:jc w:val="left"/>
            </w:pPr>
            <w:r>
              <w:t xml:space="preserve">VLN-2025-447</w:t>
            </w:r>
          </w:p>
        </w:tc>
        <w:tc>
          <w:p>
            <w:pPr>
              <w:pStyle w:val="Compact"/>
              <w:jc w:val="left"/>
            </w:pPr>
            <w:r>
              <w:t xml:space="preserve">High</w:t>
            </w:r>
          </w:p>
        </w:tc>
        <w:tc>
          <w:p>
            <w:pPr>
              <w:pStyle w:val="Compact"/>
              <w:jc w:val="left"/>
            </w:pPr>
            <w:r>
              <w:t xml:space="preserve">Container base image: golang dependency in</w:t>
            </w:r>
            <w:r>
              <w:t xml:space="preserve"> </w:t>
            </w:r>
            <w:r>
              <w:rPr>
                <w:rStyle w:val="VerbatimChar"/>
              </w:rPr>
              <w:t xml:space="preserve">careplan-api</w:t>
            </w:r>
          </w:p>
        </w:tc>
        <w:tc>
          <w:p>
            <w:pPr>
              <w:pStyle w:val="Compact"/>
              <w:jc w:val="left"/>
            </w:pPr>
            <w:r>
              <w:t xml:space="preserve">Awaiting upstream maintainer release</w:t>
            </w:r>
          </w:p>
        </w:tc>
        <w:tc>
          <w:p>
            <w:pPr>
              <w:pStyle w:val="Compact"/>
              <w:jc w:val="left"/>
            </w:pPr>
            <w:r>
              <w:t xml:space="preserve">41</w:t>
            </w:r>
          </w:p>
        </w:tc>
        <w:tc>
          <w:p>
            <w:pPr>
              <w:pStyle w:val="Compact"/>
              <w:jc w:val="left"/>
            </w:pPr>
            <w:r>
              <w:t xml:space="preserve">Past SLA; compensating controls; tracked exception EX-2026-014</w:t>
            </w:r>
          </w:p>
        </w:tc>
      </w:tr>
      <w:tr>
        <w:tc>
          <w:p>
            <w:pPr>
              <w:pStyle w:val="Compact"/>
              <w:jc w:val="left"/>
            </w:pPr>
            <w:r>
              <w:t xml:space="preserve">8</w:t>
            </w:r>
          </w:p>
        </w:tc>
        <w:tc>
          <w:p>
            <w:pPr>
              <w:pStyle w:val="Compact"/>
              <w:jc w:val="left"/>
            </w:pPr>
            <w:r>
              <w:t xml:space="preserve">VLN-2025-449</w:t>
            </w:r>
          </w:p>
        </w:tc>
        <w:tc>
          <w:p>
            <w:pPr>
              <w:pStyle w:val="Compact"/>
              <w:jc w:val="left"/>
            </w:pPr>
            <w:r>
              <w:t xml:space="preserve">High</w:t>
            </w:r>
          </w:p>
        </w:tc>
        <w:tc>
          <w:p>
            <w:pPr>
              <w:pStyle w:val="Compact"/>
              <w:jc w:val="left"/>
            </w:pPr>
            <w:r>
              <w:t xml:space="preserve">Container base image:</w:t>
            </w:r>
            <w:r>
              <w:t xml:space="preserve"> </w:t>
            </w:r>
            <w:r>
              <w:rPr>
                <w:rStyle w:val="VerbatimChar"/>
              </w:rPr>
              <w:t xml:space="preserve">node:20-alpine</w:t>
            </w:r>
            <w:r>
              <w:t xml:space="preserve"> </w:t>
            </w:r>
            <w:r>
              <w:t xml:space="preserve">derivative</w:t>
            </w:r>
          </w:p>
        </w:tc>
        <w:tc>
          <w:p>
            <w:pPr>
              <w:pStyle w:val="Compact"/>
              <w:jc w:val="left"/>
            </w:pPr>
            <w:r>
              <w:t xml:space="preserve">Awaiting upstream maintainer release</w:t>
            </w:r>
          </w:p>
        </w:tc>
        <w:tc>
          <w:p>
            <w:pPr>
              <w:pStyle w:val="Compact"/>
              <w:jc w:val="left"/>
            </w:pPr>
            <w:r>
              <w:t xml:space="preserve">38</w:t>
            </w:r>
          </w:p>
        </w:tc>
        <w:tc>
          <w:p>
            <w:pPr>
              <w:pStyle w:val="Compact"/>
              <w:jc w:val="left"/>
            </w:pPr>
            <w:r>
              <w:t xml:space="preserve">Past SLA; compensating controls; tracked exception EX-2026-014</w:t>
            </w:r>
          </w:p>
        </w:tc>
      </w:tr>
      <w:tr>
        <w:tc>
          <w:p>
            <w:pPr>
              <w:pStyle w:val="Compact"/>
              <w:jc w:val="left"/>
            </w:pPr>
            <w:r>
              <w:t xml:space="preserve">9</w:t>
            </w:r>
          </w:p>
        </w:tc>
        <w:tc>
          <w:p>
            <w:pPr>
              <w:pStyle w:val="Compact"/>
              <w:jc w:val="left"/>
            </w:pPr>
            <w:r>
              <w:t xml:space="preserve">VLN-2026-018</w:t>
            </w:r>
          </w:p>
        </w:tc>
        <w:tc>
          <w:p>
            <w:pPr>
              <w:pStyle w:val="Compact"/>
              <w:jc w:val="left"/>
            </w:pPr>
            <w:r>
              <w:t xml:space="preserve">High</w:t>
            </w:r>
          </w:p>
        </w:tc>
        <w:tc>
          <w:p>
            <w:pPr>
              <w:pStyle w:val="Compact"/>
              <w:jc w:val="left"/>
            </w:pPr>
            <w:r>
              <w:t xml:space="preserve">Wiz: EKS RBAC binding granting</w:t>
            </w:r>
            <w:r>
              <w:t xml:space="preserve"> </w:t>
            </w:r>
            <w:r>
              <w:rPr>
                <w:rStyle w:val="VerbatimChar"/>
              </w:rPr>
              <w:t xml:space="preserve">cluster-admin</w:t>
            </w:r>
            <w:r>
              <w:t xml:space="preserve"> </w:t>
            </w:r>
            <w:r>
              <w:t xml:space="preserve">to deprecated SRE group</w:t>
            </w:r>
          </w:p>
        </w:tc>
        <w:tc>
          <w:p>
            <w:pPr>
              <w:pStyle w:val="Compact"/>
              <w:jc w:val="left"/>
            </w:pPr>
            <w:r>
              <w:t xml:space="preserve">Cleanup pending after team reorg</w:t>
            </w:r>
          </w:p>
        </w:tc>
        <w:tc>
          <w:p>
            <w:pPr>
              <w:pStyle w:val="Compact"/>
              <w:jc w:val="left"/>
            </w:pPr>
            <w:r>
              <w:t xml:space="preserve">33</w:t>
            </w:r>
          </w:p>
        </w:tc>
        <w:tc>
          <w:p>
            <w:pPr>
              <w:pStyle w:val="Compact"/>
              <w:jc w:val="left"/>
            </w:pPr>
            <w:r>
              <w:t xml:space="preserve">Past SLA; remediation owner reassigned</w:t>
            </w:r>
          </w:p>
        </w:tc>
      </w:tr>
      <w:tr>
        <w:tc>
          <w:p>
            <w:pPr>
              <w:pStyle w:val="Compact"/>
              <w:jc w:val="left"/>
            </w:pPr>
            <w:r>
              <w:t xml:space="preserve">10</w:t>
            </w:r>
          </w:p>
        </w:tc>
        <w:tc>
          <w:p>
            <w:pPr>
              <w:pStyle w:val="Compact"/>
              <w:jc w:val="left"/>
            </w:pPr>
            <w:r>
              <w:t xml:space="preserve">VLN-2026-022</w:t>
            </w:r>
          </w:p>
        </w:tc>
        <w:tc>
          <w:p>
            <w:pPr>
              <w:pStyle w:val="Compact"/>
              <w:jc w:val="left"/>
            </w:pPr>
            <w:r>
              <w:t xml:space="preserve">High</w:t>
            </w:r>
          </w:p>
        </w:tc>
        <w:tc>
          <w:p>
            <w:pPr>
              <w:pStyle w:val="Compact"/>
              <w:jc w:val="left"/>
            </w:pPr>
            <w:r>
              <w:t xml:space="preserve">Snyk:</w:t>
            </w:r>
            <w:r>
              <w:t xml:space="preserve"> </w:t>
            </w:r>
            <w:r>
              <w:rPr>
                <w:rStyle w:val="VerbatimChar"/>
              </w:rPr>
              <w:t xml:space="preserve">lodash</w:t>
            </w:r>
            <w:r>
              <w:t xml:space="preserve"> </w:t>
            </w:r>
            <w:r>
              <w:t xml:space="preserve">transitive in</w:t>
            </w:r>
            <w:r>
              <w:t xml:space="preserve"> </w:t>
            </w:r>
            <w:r>
              <w:rPr>
                <w:rStyle w:val="VerbatimChar"/>
              </w:rPr>
              <w:t xml:space="preserve">population-insights-ui</w:t>
            </w:r>
          </w:p>
        </w:tc>
        <w:tc>
          <w:p>
            <w:pPr>
              <w:pStyle w:val="Compact"/>
              <w:jc w:val="left"/>
            </w:pPr>
            <w:r>
              <w:t xml:space="preserve">Patch available; PR in CI</w:t>
            </w:r>
          </w:p>
        </w:tc>
        <w:tc>
          <w:p>
            <w:pPr>
              <w:pStyle w:val="Compact"/>
              <w:jc w:val="left"/>
            </w:pPr>
            <w:r>
              <w:t xml:space="preserve">21</w:t>
            </w:r>
          </w:p>
        </w:tc>
        <w:tc>
          <w:p>
            <w:pPr>
              <w:pStyle w:val="Compact"/>
              <w:jc w:val="left"/>
            </w:pPr>
            <w:r>
              <w:t xml:space="preserve">In-flight</w:t>
            </w:r>
          </w:p>
        </w:tc>
      </w:tr>
    </w:tbl>
    <w:p>
      <w:pPr>
        <w:pStyle w:val="BodyText"/>
      </w:pPr>
      <w:r>
        <w:t xml:space="preserve">Findings #7 and #8 are the two high findings that drove the 92% (vs. 95% target) high-severity SLA. Both have written exception requests with compensating controls (documented in REG-EX-01 entry EX-2026-014: WAF rules in front of affected service; runtime container hardening; CrowdStrike behavioral detection).</w:t>
      </w:r>
    </w:p>
    <w:p>
      <w:pPr>
        <w:pStyle w:val="Heading2"/>
      </w:pPr>
      <w:bookmarkStart w:id="26" w:name="Xd54f17e95aaf1e7502af0a71927ecf9d8ed995b"/>
      <w:r>
        <w:t xml:space="preserve">6. Legacy ETL Cluster Findings (R4 — reported separately)</w:t>
      </w:r>
      <w:bookmarkEnd w:id="26"/>
    </w:p>
    <w:p>
      <w:pPr>
        <w:pStyle w:val="FirstParagraph"/>
      </w:pPr>
      <w:r>
        <w:rPr>
          <w:b/>
        </w:rPr>
        <w:t xml:space="preserve">Scope:</w:t>
      </w:r>
      <w:r>
        <w:t xml:space="preserve"> </w:t>
      </w:r>
      <w:r>
        <w:t xml:space="preserve">the legacy on-premises ETL cluster at Raleigh HQ — 4 hosts, scheduled for decommission Q4 2026. Quarterly Nessus Professional scan completed March 24,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Open</w:t>
            </w:r>
          </w:p>
        </w:tc>
        <w:tc>
          <w:tcPr>
            <w:tcBorders>
              <w:bottom w:val="single"/>
            </w:tcBorders>
            <w:vAlign w:val="bottom"/>
          </w:tcPr>
          <w:p>
            <w:pPr>
              <w:pStyle w:val="Compact"/>
              <w:jc w:val="left"/>
            </w:pPr>
            <w:r>
              <w:t xml:space="preserve">Notes</w:t>
            </w:r>
          </w:p>
        </w:tc>
      </w:tr>
      <w:tr>
        <w:tc>
          <w:p>
            <w:pPr>
              <w:pStyle w:val="Compact"/>
              <w:jc w:val="left"/>
            </w:pPr>
            <w:r>
              <w:t xml:space="preserve">Critical</w:t>
            </w:r>
          </w:p>
        </w:tc>
        <w:tc>
          <w:p>
            <w:pPr>
              <w:pStyle w:val="Compact"/>
              <w:jc w:val="left"/>
            </w:pPr>
            <w:r>
              <w:t xml:space="preserve">1</w:t>
            </w:r>
          </w:p>
        </w:tc>
        <w:tc>
          <w:p>
            <w:pPr>
              <w:pStyle w:val="Compact"/>
              <w:jc w:val="left"/>
            </w:pPr>
            <w:r>
              <w:t xml:space="preserve">OpenSSL CVE on host OS; manual patch scheduled April 8 (within 14-day SLA from scan)</w:t>
            </w:r>
          </w:p>
        </w:tc>
      </w:tr>
      <w:tr>
        <w:tc>
          <w:p>
            <w:pPr>
              <w:pStyle w:val="Compact"/>
              <w:jc w:val="left"/>
            </w:pPr>
            <w:r>
              <w:t xml:space="preserve">High</w:t>
            </w:r>
          </w:p>
        </w:tc>
        <w:tc>
          <w:p>
            <w:pPr>
              <w:pStyle w:val="Compact"/>
              <w:jc w:val="left"/>
            </w:pPr>
            <w:r>
              <w:t xml:space="preserve">4</w:t>
            </w:r>
          </w:p>
        </w:tc>
        <w:tc>
          <w:p>
            <w:pPr>
              <w:pStyle w:val="Compact"/>
              <w:jc w:val="left"/>
            </w:pPr>
            <w:r>
              <w:t xml:space="preserve">2 awaiting host OS patch; 2 affected components are slated for retirement with the cluster</w:t>
            </w:r>
          </w:p>
        </w:tc>
      </w:tr>
      <w:tr>
        <w:tc>
          <w:p>
            <w:pPr>
              <w:pStyle w:val="Compact"/>
              <w:jc w:val="left"/>
            </w:pPr>
            <w:r>
              <w:t xml:space="preserve">Medium</w:t>
            </w:r>
          </w:p>
        </w:tc>
        <w:tc>
          <w:p>
            <w:pPr>
              <w:pStyle w:val="Compact"/>
              <w:jc w:val="left"/>
            </w:pPr>
            <w:r>
              <w:t xml:space="preserve">11</w:t>
            </w:r>
          </w:p>
        </w:tc>
        <w:tc>
          <w:p>
            <w:pPr>
              <w:pStyle w:val="Compact"/>
              <w:jc w:val="left"/>
            </w:pPr>
            <w:r>
              <w:t xml:space="preserve">Treated under reduced effort consistent with 2026 decommission plan</w:t>
            </w:r>
          </w:p>
        </w:tc>
      </w:tr>
      <w:tr>
        <w:tc>
          <w:p>
            <w:pPr>
              <w:pStyle w:val="Compact"/>
              <w:jc w:val="left"/>
            </w:pPr>
            <w:r>
              <w:t xml:space="preserve">Low</w:t>
            </w:r>
          </w:p>
        </w:tc>
        <w:tc>
          <w:p>
            <w:pPr>
              <w:pStyle w:val="Compact"/>
              <w:jc w:val="left"/>
            </w:pPr>
            <w:r>
              <w:t xml:space="preserve">17</w:t>
            </w:r>
          </w:p>
        </w:tc>
        <w:tc>
          <w:p>
            <w:pPr>
              <w:pStyle w:val="Compact"/>
              <w:jc w:val="left"/>
            </w:pPr>
            <w:r>
              <w:t xml:space="preserve">Tracked but not actively remediated</w:t>
            </w:r>
          </w:p>
        </w:tc>
      </w:tr>
    </w:tbl>
    <w:p>
      <w:pPr>
        <w:pStyle w:val="BodyText"/>
      </w:pPr>
      <w:r>
        <w:rPr>
          <w:b/>
        </w:rPr>
        <w:t xml:space="preserve">Compensating controls</w:t>
      </w:r>
      <w:r>
        <w:t xml:space="preserve"> </w:t>
      </w:r>
      <w:r>
        <w:t xml:space="preserve">(per CRA-LegacyETL-2025): network egress allowlist with logging at the Raleigh edge firewall; CrowdStrike Falcon installed on all cluster hosts; quarterly manual review of host audit logs by D&amp;R engineer; service accounts restricted to specific source IPs.</w:t>
      </w:r>
    </w:p>
    <w:p>
      <w:pPr>
        <w:pStyle w:val="BodyText"/>
      </w:pPr>
      <w:r>
        <w:rPr>
          <w:b/>
        </w:rPr>
        <w:t xml:space="preserve">Position:</w:t>
      </w:r>
      <w:r>
        <w:t xml:space="preserve"> </w:t>
      </w:r>
      <w:r>
        <w:t xml:space="preserve">the residual risk is accepted under R4 with closure via decommission tracked for Q4 2026. The cluster's findings are excluded from the headline SLA percentages above so as not to obscure the modern-platform metric, but are included in §3 totals.</w:t>
      </w:r>
    </w:p>
    <w:p>
      <w:pPr>
        <w:pStyle w:val="Heading2"/>
      </w:pPr>
      <w:bookmarkStart w:id="27" w:name="X042e1b05982dac89886ad22d4b812acea4beff0"/>
      <w:r>
        <w:t xml:space="preserve">7. Root-Cause Analysis: High-Severity Past-SLA</w:t>
      </w:r>
      <w:bookmarkEnd w:id="27"/>
    </w:p>
    <w:p>
      <w:pPr>
        <w:pStyle w:val="FirstParagraph"/>
      </w:pPr>
      <w:r>
        <w:t xml:space="preserve">Two high findings (VLN-2025-447 and VLN-2025-449) breached the 30-day SLA. Root cause: both depend on upstream maintainer releases for fixed images that were not available at the SLA boundary. MCT cannot rebuild a base image without an upstream release.</w:t>
      </w:r>
    </w:p>
    <w:p>
      <w:pPr>
        <w:pStyle w:val="BodyText"/>
      </w:pPr>
      <w:r>
        <w:rPr>
          <w:b/>
        </w:rPr>
        <w:t xml:space="preserve">Mitigations in place:</w:t>
      </w:r>
      <w:r>
        <w:t xml:space="preserve"> </w:t>
      </w:r>
      <w:r>
        <w:t xml:space="preserve">WAF rules; Falcon runtime detection; container hardening flag.</w:t>
      </w:r>
      <w:r>
        <w:t xml:space="preserve"> </w:t>
      </w:r>
      <w:r>
        <w:rPr>
          <w:b/>
        </w:rPr>
        <w:t xml:space="preserve">Long-term action:</w:t>
      </w:r>
      <w:r>
        <w:t xml:space="preserve"> </w:t>
      </w:r>
      <w:r>
        <w:t xml:space="preserve">evaluate alternative base-image vendors (Chainguard Images) for Q2 2026 pilot. Captured in the FY26 AppSec roadmap.</w:t>
      </w:r>
    </w:p>
    <w:p>
      <w:pPr>
        <w:pStyle w:val="Heading2"/>
      </w:pPr>
      <w:bookmarkStart w:id="28" w:name="X3aa48f0538a79d062626596fb56a566afb6d60c"/>
      <w:r>
        <w:t xml:space="preserve">8. KPI Reporting</w:t>
      </w:r>
      <w:bookmarkEnd w:id="28"/>
    </w:p>
    <w:p>
      <w:pPr>
        <w:pStyle w:val="FirstParagraph"/>
      </w:pPr>
      <w:r>
        <w:t xml:space="preserve">The following KPIs are reported each quarter to the Security Steering Committee and (annually) to the Audit &amp; Risk Committee: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Q1 2026</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Status</w:t>
            </w:r>
          </w:p>
        </w:tc>
      </w:tr>
      <w:tr>
        <w:tc>
          <w:p>
            <w:pPr>
              <w:pStyle w:val="Compact"/>
              <w:jc w:val="left"/>
            </w:pPr>
            <w:r>
              <w:t xml:space="preserve">Critical SLA compliance (rolling 90 days)</w:t>
            </w:r>
          </w:p>
        </w:tc>
        <w:tc>
          <w:p>
            <w:pPr>
              <w:pStyle w:val="Compact"/>
              <w:jc w:val="left"/>
            </w:pPr>
            <w:r>
              <w:t xml:space="preserve">97%</w:t>
            </w:r>
          </w:p>
        </w:tc>
        <w:tc>
          <w:p>
            <w:pPr>
              <w:pStyle w:val="Compact"/>
              <w:jc w:val="left"/>
            </w:pPr>
            <w:r>
              <w:t xml:space="preserve">100%</w:t>
            </w:r>
          </w:p>
        </w:tc>
        <w:tc>
          <w:p>
            <w:pPr>
              <w:pStyle w:val="Compact"/>
              <w:jc w:val="left"/>
            </w:pPr>
            <w:r>
              <w:t xml:space="preserve">Below target; trending up</w:t>
            </w:r>
          </w:p>
        </w:tc>
      </w:tr>
      <w:tr>
        <w:tc>
          <w:p>
            <w:pPr>
              <w:pStyle w:val="Compact"/>
              <w:jc w:val="left"/>
            </w:pPr>
            <w:r>
              <w:t xml:space="preserve">High SLA compliance (rolling 90 days)</w:t>
            </w:r>
          </w:p>
        </w:tc>
        <w:tc>
          <w:p>
            <w:pPr>
              <w:pStyle w:val="Compact"/>
              <w:jc w:val="left"/>
            </w:pPr>
            <w:r>
              <w:t xml:space="preserve">92%</w:t>
            </w:r>
          </w:p>
        </w:tc>
        <w:tc>
          <w:p>
            <w:pPr>
              <w:pStyle w:val="Compact"/>
              <w:jc w:val="left"/>
            </w:pPr>
            <w:r>
              <w:t xml:space="preserve">95%</w:t>
            </w:r>
          </w:p>
        </w:tc>
        <w:tc>
          <w:p>
            <w:pPr>
              <w:pStyle w:val="Compact"/>
              <w:jc w:val="left"/>
            </w:pPr>
            <w:r>
              <w:t xml:space="preserve">Below target; one root cause</w:t>
            </w:r>
          </w:p>
        </w:tc>
      </w:tr>
      <w:tr>
        <w:tc>
          <w:p>
            <w:pPr>
              <w:pStyle w:val="Compact"/>
              <w:jc w:val="left"/>
            </w:pPr>
            <w:r>
              <w:t xml:space="preserve">Medium SLA compliance</w:t>
            </w:r>
          </w:p>
        </w:tc>
        <w:tc>
          <w:p>
            <w:pPr>
              <w:pStyle w:val="Compact"/>
              <w:jc w:val="left"/>
            </w:pPr>
            <w:r>
              <w:t xml:space="preserve">97%</w:t>
            </w:r>
          </w:p>
        </w:tc>
        <w:tc>
          <w:p>
            <w:pPr>
              <w:pStyle w:val="Compact"/>
              <w:jc w:val="left"/>
            </w:pPr>
            <w:r>
              <w:t xml:space="preserve">90%</w:t>
            </w:r>
          </w:p>
        </w:tc>
        <w:tc>
          <w:p>
            <w:pPr>
              <w:pStyle w:val="Compact"/>
              <w:jc w:val="left"/>
            </w:pPr>
            <w:r>
              <w:t xml:space="preserve">On target</w:t>
            </w:r>
          </w:p>
        </w:tc>
      </w:tr>
      <w:tr>
        <w:tc>
          <w:p>
            <w:pPr>
              <w:pStyle w:val="Compact"/>
              <w:jc w:val="left"/>
            </w:pPr>
            <w:r>
              <w:t xml:space="preserve">Mean time to remediate critical</w:t>
            </w:r>
          </w:p>
        </w:tc>
        <w:tc>
          <w:p>
            <w:pPr>
              <w:pStyle w:val="Compact"/>
              <w:jc w:val="left"/>
            </w:pPr>
            <w:r>
              <w:t xml:space="preserve">4.8 days</w:t>
            </w:r>
          </w:p>
        </w:tc>
        <w:tc>
          <w:p>
            <w:pPr>
              <w:pStyle w:val="Compact"/>
              <w:jc w:val="left"/>
            </w:pPr>
            <w:r>
              <w:t xml:space="preserve">&lt; 7 days</w:t>
            </w:r>
          </w:p>
        </w:tc>
        <w:tc>
          <w:p>
            <w:pPr>
              <w:pStyle w:val="Compact"/>
              <w:jc w:val="left"/>
            </w:pPr>
            <w:r>
              <w:t xml:space="preserve">On target</w:t>
            </w:r>
          </w:p>
        </w:tc>
      </w:tr>
      <w:tr>
        <w:tc>
          <w:p>
            <w:pPr>
              <w:pStyle w:val="Compact"/>
              <w:jc w:val="left"/>
            </w:pPr>
            <w:r>
              <w:t xml:space="preserve">% of production images rebuilt in last 30 days</w:t>
            </w:r>
          </w:p>
        </w:tc>
        <w:tc>
          <w:p>
            <w:pPr>
              <w:pStyle w:val="Compact"/>
              <w:jc w:val="left"/>
            </w:pPr>
            <w:r>
              <w:t xml:space="preserve">96%</w:t>
            </w:r>
          </w:p>
        </w:tc>
        <w:tc>
          <w:p>
            <w:pPr>
              <w:pStyle w:val="Compact"/>
              <w:jc w:val="left"/>
            </w:pPr>
            <w:r>
              <w:t xml:space="preserve">&gt; 95%</w:t>
            </w:r>
          </w:p>
        </w:tc>
        <w:tc>
          <w:p>
            <w:pPr>
              <w:pStyle w:val="Compact"/>
              <w:jc w:val="left"/>
            </w:pPr>
            <w:r>
              <w:t xml:space="preserve">On target</w:t>
            </w:r>
          </w:p>
        </w:tc>
      </w:tr>
      <w:tr>
        <w:tc>
          <w:p>
            <w:pPr>
              <w:pStyle w:val="Compact"/>
              <w:jc w:val="left"/>
            </w:pPr>
            <w:r>
              <w:t xml:space="preserve">OSS dependency PRs auto-merged via Renovate (low/medium severity, passing CI)</w:t>
            </w:r>
          </w:p>
        </w:tc>
        <w:tc>
          <w:p>
            <w:pPr>
              <w:pStyle w:val="Compact"/>
              <w:jc w:val="left"/>
            </w:pPr>
            <w:r>
              <w:t xml:space="preserve">73%</w:t>
            </w:r>
          </w:p>
        </w:tc>
        <w:tc>
          <w:p>
            <w:pPr>
              <w:pStyle w:val="Compact"/>
              <w:jc w:val="left"/>
            </w:pPr>
            <w:r>
              <w:t xml:space="preserve">&gt; 70%</w:t>
            </w:r>
          </w:p>
        </w:tc>
        <w:tc>
          <w:p>
            <w:pPr>
              <w:pStyle w:val="Compact"/>
              <w:jc w:val="left"/>
            </w:pPr>
            <w:r>
              <w:t xml:space="preserve">On target</w:t>
            </w:r>
          </w:p>
        </w:tc>
      </w:tr>
    </w:tbl>
    <w:p>
      <w:pPr>
        <w:pStyle w:val="Heading2"/>
      </w:pPr>
      <w:bookmarkStart w:id="29" w:name="X3b310c992c14e4dbefdf74a84b3566fb9eb6550"/>
      <w:r>
        <w:t xml:space="preserve">9. Look-Ahead</w:t>
      </w:r>
      <w:bookmarkEnd w:id="29"/>
    </w:p>
    <w:p>
      <w:pPr>
        <w:numPr>
          <w:ilvl w:val="0"/>
          <w:numId w:val="1002"/>
        </w:numPr>
        <w:pStyle w:val="Compact"/>
      </w:pPr>
      <w:r>
        <w:t xml:space="preserve">Q2 2026: pilot Chainguard Images for</w:t>
      </w:r>
      <w:r>
        <w:t xml:space="preserve"> </w:t>
      </w:r>
      <w:r>
        <w:rPr>
          <w:rStyle w:val="VerbatimChar"/>
        </w:rPr>
        <w:t xml:space="preserve">careplan-api</w:t>
      </w:r>
      <w:r>
        <w:t xml:space="preserve"> </w:t>
      </w:r>
      <w:r>
        <w:t xml:space="preserve">base image to test reduced exposure to upstream lag.</w:t>
      </w:r>
    </w:p>
    <w:p>
      <w:pPr>
        <w:numPr>
          <w:ilvl w:val="0"/>
          <w:numId w:val="1002"/>
        </w:numPr>
        <w:pStyle w:val="Compact"/>
      </w:pPr>
      <w:r>
        <w:t xml:space="preserve">Q2 2026: complete remediation of EX-2026-014 (assuming upstream availability).</w:t>
      </w:r>
    </w:p>
    <w:p>
      <w:pPr>
        <w:numPr>
          <w:ilvl w:val="0"/>
          <w:numId w:val="1002"/>
        </w:numPr>
        <w:pStyle w:val="Compact"/>
      </w:pPr>
      <w:r>
        <w:t xml:space="preserve">Q3 2026: re-baseline Wiz prioritization rules to incorporate FAIR ALE weighting on findings.</w:t>
      </w:r>
    </w:p>
    <w:p>
      <w:pPr>
        <w:numPr>
          <w:ilvl w:val="0"/>
          <w:numId w:val="1002"/>
        </w:numPr>
        <w:pStyle w:val="Compact"/>
      </w:pPr>
      <w:r>
        <w:t xml:space="preserve">Q4 2026: legacy ETL decommission and corresponding closure of R4 / EX-2024-007.</w:t>
      </w:r>
    </w:p>
    <w:p>
      <w:pPr>
        <w:pStyle w:val="Heading2"/>
      </w:pPr>
      <w:bookmarkStart w:id="30" w:name="X3b4c3db7819ed66f453f0c9b146c43e80460b49"/>
      <w:r>
        <w:t xml:space="preserve">10. References</w:t>
      </w:r>
      <w:bookmarkEnd w:id="30"/>
    </w:p>
    <w:p>
      <w:pPr>
        <w:numPr>
          <w:ilvl w:val="0"/>
          <w:numId w:val="1003"/>
        </w:numPr>
        <w:pStyle w:val="Compact"/>
      </w:pPr>
      <w:r>
        <w:t xml:space="preserve">POL-001 Information Security Policy</w:t>
      </w:r>
    </w:p>
    <w:p>
      <w:pPr>
        <w:numPr>
          <w:ilvl w:val="0"/>
          <w:numId w:val="1003"/>
        </w:numPr>
        <w:pStyle w:val="Compact"/>
      </w:pPr>
      <w:r>
        <w:t xml:space="preserve">POL-PM-01 Patch Management Policy</w:t>
      </w:r>
    </w:p>
    <w:p>
      <w:pPr>
        <w:numPr>
          <w:ilvl w:val="0"/>
          <w:numId w:val="1003"/>
        </w:numPr>
        <w:pStyle w:val="Compact"/>
      </w:pPr>
      <w:r>
        <w:t xml:space="preserve">RISK-Cyber-Risk-Register (R4)</w:t>
      </w:r>
    </w:p>
    <w:p>
      <w:pPr>
        <w:numPr>
          <w:ilvl w:val="0"/>
          <w:numId w:val="1003"/>
        </w:numPr>
        <w:pStyle w:val="Compact"/>
      </w:pPr>
      <w:r>
        <w:t xml:space="preserve">CRA-LegacyETL-2025 Compensating Risk Acceptance</w:t>
      </w:r>
    </w:p>
    <w:p>
      <w:pPr>
        <w:numPr>
          <w:ilvl w:val="0"/>
          <w:numId w:val="1003"/>
        </w:numPr>
        <w:pStyle w:val="Compact"/>
      </w:pPr>
      <w:r>
        <w:t xml:space="preserve">REG-EX-01 Exceptions Register (EX-2024-007, EX-2026-014)</w:t>
      </w:r>
    </w:p>
    <w:p>
      <w:pPr>
        <w:numPr>
          <w:ilvl w:val="0"/>
          <w:numId w:val="1003"/>
        </w:numPr>
        <w:pStyle w:val="Compact"/>
      </w:pPr>
      <w:r>
        <w:t xml:space="preserve">RPT-Annual-Penetration-Test-Executive-Summary-2025</w:t>
      </w:r>
    </w:p>
    <w:p>
      <w:pPr>
        <w:pStyle w:val="Heading2"/>
      </w:pPr>
      <w:bookmarkStart w:id="31" w:name="X4242814d05d3c3546a5518e746c712e8af18524"/>
      <w:r>
        <w:t xml:space="preserve">11. Document Control</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2026-04-10</w:t>
            </w:r>
          </w:p>
        </w:tc>
        <w:tc>
          <w:p>
            <w:pPr>
              <w:pStyle w:val="Compact"/>
              <w:jc w:val="left"/>
            </w:pPr>
            <w:r>
              <w:t xml:space="preserve">A. Reyes</w:t>
            </w:r>
          </w:p>
        </w:tc>
        <w:tc>
          <w:p>
            <w:pPr>
              <w:pStyle w:val="Compact"/>
              <w:jc w:val="left"/>
            </w:pPr>
            <w:r>
              <w:t xml:space="preserve">Q1 2026 quarterly summary; first issue under v3 reporting template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2026-04-30T19:08:44Z</dcterms:created>
  <dcterms:modified xsi:type="dcterms:W3CDTF">2026-04-30T19:08:44Z</dcterms:modified>
</cp:coreProperties>
</file>

<file path=docProps/custom.xml><?xml version="1.0" encoding="utf-8"?>
<Properties xmlns="http://schemas.openxmlformats.org/officeDocument/2006/custom-properties" xmlns:vt="http://schemas.openxmlformats.org/officeDocument/2006/docPropsVTypes"/>
</file>