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cident-case-file--pebble-phish"/>
      <w:r>
        <w:t xml:space="preserve">Incident Case File — "Pebble Phish"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LOG-IR-2024-03-001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2.1 (closure record + 2025 retrospective addendum)</w:t>
      </w:r>
      <w:r>
        <w:t xml:space="preserve"> </w:t>
      </w:r>
      <w:r>
        <w:rPr>
          <w:b/>
        </w:rPr>
        <w:t xml:space="preserve">Incident date:</w:t>
      </w:r>
      <w:r>
        <w:t xml:space="preserve"> </w:t>
      </w:r>
      <w:r>
        <w:t xml:space="preserve">March 14, 2024</w:t>
      </w:r>
      <w:r>
        <w:t xml:space="preserve"> </w:t>
      </w:r>
      <w:r>
        <w:rPr>
          <w:b/>
        </w:rPr>
        <w:t xml:space="preserve">Closure date:</w:t>
      </w:r>
      <w:r>
        <w:t xml:space="preserve"> </w:t>
      </w:r>
      <w:r>
        <w:t xml:space="preserve">March 22, 2024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December 15, 2025 (retrospective addendum on FIDO2 program closure)</w:t>
      </w:r>
      <w:r>
        <w:t xml:space="preserve"> </w:t>
      </w:r>
      <w:r>
        <w:rPr>
          <w:b/>
        </w:rPr>
        <w:t xml:space="preserve">Final severity:</w:t>
      </w:r>
      <w:r>
        <w:t xml:space="preserve"> </w:t>
      </w:r>
      <w:r>
        <w:t xml:space="preserve">SEV-2</w:t>
      </w:r>
      <w:r>
        <w:t xml:space="preserve"> </w:t>
      </w:r>
      <w:r>
        <w:rPr>
          <w:b/>
        </w:rPr>
        <w:t xml:space="preserve">Owner of record:</w:t>
      </w:r>
      <w:r>
        <w:t xml:space="preserve"> </w:t>
      </w:r>
      <w:r>
        <w:t xml:space="preserve">Marcus Tan, Security Engineer (Detection &amp; Response) — designated IC retrospectively (note: Tan joined September 2024; original IC was the prior on-call engineer M. Reilly, who left MCT in August 2024; Tan inherited the case file for closure tracking)</w:t>
      </w:r>
      <w:r>
        <w:t xml:space="preserve"> </w:t>
      </w:r>
      <w:r>
        <w:rPr>
          <w:b/>
        </w:rPr>
        <w:t xml:space="preserve">Sign-off:</w:t>
      </w:r>
      <w:r>
        <w:t xml:space="preserve"> </w:t>
      </w:r>
      <w:r>
        <w:t xml:space="preserve">Sarah Yoon, CISO; Marcus Holbrook, GC</w:t>
      </w:r>
      <w:r>
        <w:t xml:space="preserve"> </w:t>
      </w:r>
      <w:r>
        <w:rPr>
          <w:b/>
        </w:rPr>
        <w:t xml:space="preserve">Classification:</w:t>
      </w:r>
      <w:r>
        <w:t xml:space="preserve"> </w:t>
      </w:r>
      <w:r>
        <w:t xml:space="preserve">Internal — Distribution Limited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54a346158e1c9302d737b408239f1b33007b474"/>
      <w:r>
        <w:t xml:space="preserve">1. Summary</w:t>
      </w:r>
      <w:bookmarkEnd w:id="21"/>
    </w:p>
    <w:p>
      <w:pPr>
        <w:pStyle w:val="FirstParagraph"/>
      </w:pPr>
      <w:r>
        <w:t xml:space="preserve">On March 14, 2024, between 10:31 EDT and 11:31 EDT, MCT experienced a targeted credential-phishing attack against nine billing clerks within the Customer Success operations group. One clerk submitted credentials to a credential-harvesting page imitating the Okta sign-in screen. The attacker attempted authentication to the user's Okta account and triggered an Okta Verify push challenge (this was prior to the Q4 2024 mandatory FIDO2 rollout for privileged users); the user did not approve the push. Three additional MFA prompts were sent over the next 14 minutes, all rejected. An Okta MFA-fatigue alert fired in Datadog at 11:07 EDT and was triaged by the on-call security engineer at 11:14 EDT. The user's Okta sessions were revoked and password reset by 11:31 EDT.</w:t>
      </w:r>
    </w:p>
    <w:p>
      <w:pPr>
        <w:pStyle w:val="BodyText"/>
      </w:pPr>
      <w:r>
        <w:t xml:space="preserve">A post-incident review concluded that</w:t>
      </w:r>
      <w:r>
        <w:t xml:space="preserve"> </w:t>
      </w:r>
      <w:r>
        <w:rPr>
          <w:b/>
        </w:rPr>
        <w:t xml:space="preserve">no PHI was accessed</w:t>
      </w:r>
      <w:r>
        <w:t xml:space="preserve">, no successful authentication to MCT systems occurred, and</w:t>
      </w:r>
      <w:r>
        <w:t xml:space="preserve"> </w:t>
      </w:r>
      <w:r>
        <w:rPr>
          <w:b/>
        </w:rPr>
        <w:t xml:space="preserve">no breach notification under HIPAA §164.402 was triggered</w:t>
      </w:r>
      <w:r>
        <w:t xml:space="preserve">. The four-factor analysis was documented in BREACH-ASSESS-2024-03-001 and approved by the General Counsel and HIPAA Privacy Officer.</w:t>
      </w:r>
    </w:p>
    <w:p>
      <w:pPr>
        <w:pStyle w:val="BodyText"/>
      </w:pPr>
      <w:r>
        <w:t xml:space="preserve">The incident produced four major program changes that constitute the Company's principal post-Pebble-Phish improvements (see §9).</w:t>
      </w:r>
    </w:p>
    <w:p>
      <w:pPr>
        <w:pStyle w:val="Heading2"/>
      </w:pPr>
      <w:bookmarkStart w:id="22" w:name="X39ba75dad4802fc7d0ffb0458cbcfb0a85b5572"/>
      <w:r>
        <w:t xml:space="preserve">2. Severity Declaration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Initial severity (declared 11:14 EDT by on-call)</w:t>
            </w:r>
          </w:p>
        </w:tc>
        <w:tc>
          <w:p>
            <w:pPr>
              <w:pStyle w:val="Compact"/>
              <w:jc w:val="left"/>
            </w:pPr>
            <w:r>
              <w:t xml:space="preserve">SEV-3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Re-evaluated severity (11:42 EDT by CISO)</w:t>
            </w:r>
          </w:p>
        </w:tc>
        <w:tc>
          <w:p>
            <w:pPr>
              <w:pStyle w:val="Compact"/>
              <w:jc w:val="left"/>
            </w:pPr>
            <w:r>
              <w:t xml:space="preserve">SEV-2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severity</w:t>
            </w:r>
          </w:p>
        </w:tc>
        <w:tc>
          <w:p>
            <w:pPr>
              <w:pStyle w:val="Compact"/>
              <w:jc w:val="left"/>
            </w:pPr>
            <w:r>
              <w:t xml:space="preserve">SEV-2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p>
            <w:pPr>
              <w:pStyle w:val="Compact"/>
              <w:jc w:val="left"/>
            </w:pPr>
            <w:r>
              <w:t xml:space="preserve">Targeted phishing campaign with credential submission; SEV-2 per PLN-IR-01 §5. SEV-2 was confirmed once the breadth of the campaign (9 recipients) was understood; initial triage classified the single user event as SEV-3.</w:t>
            </w:r>
          </w:p>
        </w:tc>
      </w:tr>
    </w:tbl>
    <w:p>
      <w:pPr>
        <w:pStyle w:val="Heading2"/>
      </w:pPr>
      <w:bookmarkStart w:id="23" w:name="Xceb5f4a987902f8eceac91c38716425eb157f04"/>
      <w:r>
        <w:t xml:space="preserve">3. Timeline (Eastern Daylight Time, March 14, 2024)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10:24</w:t>
            </w:r>
          </w:p>
        </w:tc>
        <w:tc>
          <w:p>
            <w:pPr>
              <w:pStyle w:val="Compact"/>
              <w:jc w:val="left"/>
            </w:pPr>
            <w:r>
              <w:t xml:space="preserve">Phishing email delivered to nine billing-clerk recipients. Subject: "URGENT: Health-plan portal access expiration — action required". Sender: spoofed</w:t>
            </w:r>
            <w:r>
              <w:t xml:space="preserve"> </w:t>
            </w:r>
            <w:r>
              <w:rPr>
                <w:rStyle w:val="VerbatimChar"/>
              </w:rPr>
              <w:t xml:space="preserve">noreply@oktasso-mct[.]com</w:t>
            </w:r>
            <w:r>
              <w:t xml:space="preserve"> </w:t>
            </w:r>
            <w:r>
              <w:t xml:space="preserve">(lookalike domain registered 2024-03-12).</w:t>
            </w:r>
          </w:p>
        </w:tc>
        <w:tc>
          <w:p>
            <w:pPr>
              <w:pStyle w:val="Compact"/>
              <w:jc w:val="left"/>
            </w:pPr>
            <w:r>
              <w:t xml:space="preserve">Microsoft 365 quarantine logs (post-hoc)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10:29</w:t>
            </w:r>
          </w:p>
        </w:tc>
        <w:tc>
          <w:p>
            <w:pPr>
              <w:pStyle w:val="Compact"/>
              <w:jc w:val="left"/>
            </w:pPr>
            <w:r>
              <w:t xml:space="preserve">First three recipients report the email via the in-product "Report Phish" button.</w:t>
            </w:r>
          </w:p>
        </w:tc>
        <w:tc>
          <w:p>
            <w:pPr>
              <w:pStyle w:val="Compact"/>
              <w:jc w:val="left"/>
            </w:pPr>
            <w:r>
              <w:t xml:space="preserve">Microsoft Defender +</w:t>
            </w:r>
            <w:r>
              <w:t xml:space="preserve"> </w:t>
            </w:r>
            <w:r>
              <w:rPr>
                <w:rStyle w:val="VerbatimChar"/>
              </w:rPr>
              <w:t xml:space="preserve">security@meridiancare.com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10:31</w:t>
            </w:r>
          </w:p>
        </w:tc>
        <w:tc>
          <w:p>
            <w:pPr>
              <w:pStyle w:val="Compact"/>
              <w:jc w:val="left"/>
            </w:pPr>
            <w:r>
              <w:t xml:space="preserve">User-A clicks the link, navigates to credential-harvesting page hosted at</w:t>
            </w:r>
            <w:r>
              <w:t xml:space="preserve"> </w:t>
            </w:r>
            <w:r>
              <w:rPr>
                <w:rStyle w:val="VerbatimChar"/>
              </w:rPr>
              <w:t xml:space="preserve">https://oktasso-mct[.]com/login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Microsoft Defender SafeLinks click telemetry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10:33</w:t>
            </w:r>
          </w:p>
        </w:tc>
        <w:tc>
          <w:p>
            <w:pPr>
              <w:pStyle w:val="Compact"/>
              <w:jc w:val="left"/>
            </w:pPr>
            <w:r>
              <w:t xml:space="preserve">User-A submits username and password.</w:t>
            </w:r>
          </w:p>
        </w:tc>
        <w:tc>
          <w:p>
            <w:pPr>
              <w:pStyle w:val="Compact"/>
              <w:jc w:val="left"/>
            </w:pPr>
            <w:r>
              <w:t xml:space="preserve">Reconstructed from server-side telemetry (post-hoc, with Mandiant retainer support)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10:42</w:t>
            </w:r>
          </w:p>
        </w:tc>
        <w:tc>
          <w:p>
            <w:pPr>
              <w:pStyle w:val="Compact"/>
              <w:jc w:val="left"/>
            </w:pPr>
            <w:r>
              <w:t xml:space="preserve">Attacker authenticates to MCT Okta using the stolen credentials from IP</w:t>
            </w:r>
            <w:r>
              <w:t xml:space="preserve"> </w:t>
            </w:r>
            <w:r>
              <w:rPr>
                <w:rStyle w:val="VerbatimChar"/>
              </w:rPr>
              <w:t xml:space="preserve">45.155.x.x</w:t>
            </w:r>
            <w:r>
              <w:t xml:space="preserve"> </w:t>
            </w:r>
            <w:r>
              <w:t xml:space="preserve">(later attributed to a known credential-harvesting infrastructure cluster). Okta returns MFA challenge.</w:t>
            </w:r>
          </w:p>
        </w:tc>
        <w:tc>
          <w:p>
            <w:pPr>
              <w:pStyle w:val="Compact"/>
              <w:jc w:val="left"/>
            </w:pPr>
            <w:r>
              <w:t xml:space="preserve">Okta system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10:42</w:t>
            </w:r>
          </w:p>
        </w:tc>
        <w:tc>
          <w:p>
            <w:pPr>
              <w:pStyle w:val="Compact"/>
              <w:jc w:val="left"/>
            </w:pPr>
            <w:r>
              <w:t xml:space="preserve">Push notification sent to User-A's Okta Verify on iOS device. User does not approve.</w:t>
            </w:r>
          </w:p>
        </w:tc>
        <w:tc>
          <w:p>
            <w:pPr>
              <w:pStyle w:val="Compact"/>
              <w:jc w:val="left"/>
            </w:pPr>
            <w:r>
              <w:t xml:space="preserve">Okta system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10:48, 10:53, 10:56</w:t>
            </w:r>
          </w:p>
        </w:tc>
        <w:tc>
          <w:p>
            <w:pPr>
              <w:pStyle w:val="Compact"/>
              <w:jc w:val="left"/>
            </w:pPr>
            <w:r>
              <w:t xml:space="preserve">Three additional push notifications sent. All rejected by User-A.</w:t>
            </w:r>
          </w:p>
        </w:tc>
        <w:tc>
          <w:p>
            <w:pPr>
              <w:pStyle w:val="Compact"/>
              <w:jc w:val="left"/>
            </w:pPr>
            <w:r>
              <w:t xml:space="preserve">Okta system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11:02</w:t>
            </w:r>
          </w:p>
        </w:tc>
        <w:tc>
          <w:p>
            <w:pPr>
              <w:pStyle w:val="Compact"/>
              <w:jc w:val="left"/>
            </w:pPr>
            <w:r>
              <w:t xml:space="preserve">User-A sends Slack message to her team lead saying "okta keeps pushing me, weird". Team lead advises forwarding to security.</w:t>
            </w:r>
          </w:p>
        </w:tc>
        <w:tc>
          <w:p>
            <w:pPr>
              <w:pStyle w:val="Compact"/>
              <w:jc w:val="left"/>
            </w:pPr>
            <w:r>
              <w:t xml:space="preserve">Slack</w:t>
            </w:r>
            <w:r>
              <w:t xml:space="preserve"> </w:t>
            </w:r>
            <w:r>
              <w:rPr>
                <w:rStyle w:val="VerbatimChar"/>
              </w:rPr>
              <w:t xml:space="preserve">#cs-billing-team</w:t>
            </w:r>
            <w:r>
              <w:t xml:space="preserve"> </w:t>
            </w:r>
            <w:r>
              <w:t xml:space="preserve">(audit-exported)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11:04</w:t>
            </w:r>
          </w:p>
        </w:tc>
        <w:tc>
          <w:p>
            <w:pPr>
              <w:pStyle w:val="Compact"/>
              <w:jc w:val="left"/>
            </w:pPr>
            <w:r>
              <w:t xml:space="preserve">User-A forwards the original email to</w:t>
            </w:r>
            <w:r>
              <w:t xml:space="preserve"> </w:t>
            </w:r>
            <w:r>
              <w:rPr>
                <w:rStyle w:val="VerbatimChar"/>
              </w:rPr>
              <w:t xml:space="preserve">security@meridiancare.com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Microsoft 365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Datadog SIEM alert fires:</w:t>
            </w:r>
            <w:r>
              <w:t xml:space="preserve"> </w:t>
            </w:r>
            <w:r>
              <w:t xml:space="preserve">Okta MFA fatigue rule (≥3 push challenges denied within 15 minutes from a new IP).</w:t>
            </w:r>
          </w:p>
        </w:tc>
        <w:tc>
          <w:p>
            <w:pPr>
              <w:pStyle w:val="Compact"/>
              <w:jc w:val="left"/>
            </w:pPr>
            <w:r>
              <w:t xml:space="preserve">Datadog</w:t>
            </w:r>
            <w:r>
              <w:t xml:space="preserve"> </w:t>
            </w:r>
            <w:r>
              <w:rPr>
                <w:rStyle w:val="VerbatimChar"/>
              </w:rPr>
              <w:t xml:space="preserve">okta_mfa_fatigue</w:t>
            </w:r>
            <w:r>
              <w:t xml:space="preserve"> </w:t>
            </w: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11:14</w:t>
            </w:r>
          </w:p>
        </w:tc>
        <w:tc>
          <w:p>
            <w:pPr>
              <w:pStyle w:val="Compact"/>
              <w:jc w:val="left"/>
            </w:pPr>
            <w:r>
              <w:t xml:space="preserve">On-call security engineer (M. Reilly) acknowledges the alert.</w:t>
            </w:r>
          </w:p>
        </w:tc>
        <w:tc>
          <w:p>
            <w:pPr>
              <w:pStyle w:val="Compact"/>
              <w:jc w:val="left"/>
            </w:pPr>
            <w:r>
              <w:t xml:space="preserve">PagerDuty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11:18</w:t>
            </w:r>
          </w:p>
        </w:tc>
        <w:tc>
          <w:p>
            <w:pPr>
              <w:pStyle w:val="Compact"/>
              <w:jc w:val="left"/>
            </w:pPr>
            <w:r>
              <w:t xml:space="preserve">Reilly reviews Okta system log; identifies attacker IP and confirms no successful authentication. Begins containment.</w:t>
            </w:r>
          </w:p>
        </w:tc>
        <w:tc>
          <w:p>
            <w:pPr>
              <w:pStyle w:val="Compact"/>
              <w:jc w:val="left"/>
            </w:pPr>
            <w:r>
              <w:t xml:space="preserve">Okta + IR runbook</w:t>
            </w:r>
            <w:r>
              <w:t xml:space="preserve"> </w:t>
            </w:r>
            <w:r>
              <w:rPr>
                <w:rStyle w:val="VerbatimChar"/>
              </w:rPr>
              <w:t xml:space="preserve">RB-PHISH-CRED-001</w:t>
            </w:r>
            <w:r>
              <w:t xml:space="preserve"> </w:t>
            </w: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11:22</w:t>
            </w:r>
          </w:p>
        </w:tc>
        <w:tc>
          <w:p>
            <w:pPr>
              <w:pStyle w:val="Compact"/>
              <w:jc w:val="left"/>
            </w:pPr>
            <w:r>
              <w:t xml:space="preserve">Reilly contacts User-A by phone to confirm she did not approve any pushes. Confirmed.</w:t>
            </w:r>
          </w:p>
        </w:tc>
        <w:tc>
          <w:p>
            <w:pPr>
              <w:pStyle w:val="Compact"/>
              <w:jc w:val="left"/>
            </w:pPr>
            <w:r>
              <w:t xml:space="preserve">Phone call (logged in IR ticket)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11:23</w:t>
            </w:r>
          </w:p>
        </w:tc>
        <w:tc>
          <w:p>
            <w:pPr>
              <w:pStyle w:val="Compact"/>
              <w:jc w:val="left"/>
            </w:pPr>
            <w:r>
              <w:t xml:space="preserve">Reilly initiates Okta session revocation for User-A; password reset triggered; MFA factors marked for re-enrollment.</w:t>
            </w:r>
          </w:p>
        </w:tc>
        <w:tc>
          <w:p>
            <w:pPr>
              <w:pStyle w:val="Compact"/>
              <w:jc w:val="left"/>
            </w:pPr>
            <w:r>
              <w:t xml:space="preserve">Okta admin action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11:25</w:t>
            </w:r>
          </w:p>
        </w:tc>
        <w:tc>
          <w:p>
            <w:pPr>
              <w:pStyle w:val="Compact"/>
              <w:jc w:val="left"/>
            </w:pPr>
            <w:r>
              <w:t xml:space="preserve">Reilly opens Jira ticket</w:t>
            </w:r>
            <w:r>
              <w:t xml:space="preserve"> </w:t>
            </w:r>
            <w:r>
              <w:rPr>
                <w:rStyle w:val="VerbatimChar"/>
              </w:rPr>
              <w:t xml:space="preserve">SEC-IR-2024-014</w:t>
            </w:r>
            <w:r>
              <w:t xml:space="preserve">; severity SEV-3; pages CISO.</w:t>
            </w:r>
          </w:p>
        </w:tc>
        <w:tc>
          <w:p>
            <w:pPr>
              <w:pStyle w:val="Compact"/>
              <w:jc w:val="left"/>
            </w:pPr>
            <w:r>
              <w:t xml:space="preserve">Jira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11:31</w:t>
            </w:r>
          </w:p>
        </w:tc>
        <w:tc>
          <w:p>
            <w:pPr>
              <w:pStyle w:val="Compact"/>
              <w:jc w:val="left"/>
            </w:pPr>
            <w:r>
              <w:t xml:space="preserve">Containment complete: User-A's Okta password reset, sessions revoked, MFA factors re-enrolled (FIDO2 not yet available for this role; Okta Verify re-enrolled).</w:t>
            </w:r>
          </w:p>
        </w:tc>
        <w:tc>
          <w:p>
            <w:pPr>
              <w:pStyle w:val="Compact"/>
              <w:jc w:val="left"/>
            </w:pPr>
            <w:r>
              <w:t xml:space="preserve">Okta admin action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11:42</w:t>
            </w:r>
          </w:p>
        </w:tc>
        <w:tc>
          <w:p>
            <w:pPr>
              <w:pStyle w:val="Compact"/>
              <w:jc w:val="left"/>
            </w:pPr>
            <w:r>
              <w:t xml:space="preserve">CISO (S. Yoon) re-evaluates severity to SEV-2 on confirming the campaign reached nine recipients.</w:t>
            </w:r>
          </w:p>
        </w:tc>
        <w:tc>
          <w:p>
            <w:pPr>
              <w:pStyle w:val="Compact"/>
              <w:jc w:val="left"/>
            </w:pPr>
            <w:r>
              <w:t xml:space="preserve">Jira ticket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11:50</w:t>
            </w:r>
          </w:p>
        </w:tc>
        <w:tc>
          <w:p>
            <w:pPr>
              <w:pStyle w:val="Compact"/>
              <w:jc w:val="left"/>
            </w:pPr>
            <w:r>
              <w:t xml:space="preserve">GC (M. Holbrook) engaged. Breach Assessment Workgroup convened.</w:t>
            </w:r>
          </w:p>
        </w:tc>
        <w:tc>
          <w:p>
            <w:pPr>
              <w:pStyle w:val="Compact"/>
              <w:jc w:val="left"/>
            </w:pPr>
            <w:r>
              <w:t xml:space="preserve">Email + Zoom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12:15</w:t>
            </w:r>
          </w:p>
        </w:tc>
        <w:tc>
          <w:p>
            <w:pPr>
              <w:pStyle w:val="Compact"/>
              <w:jc w:val="left"/>
            </w:pPr>
            <w:r>
              <w:t xml:space="preserve">Email sweep across the recipient cohort: all nine emails identified, four already reported, five quarantined retroactively.</w:t>
            </w:r>
          </w:p>
        </w:tc>
        <w:tc>
          <w:p>
            <w:pPr>
              <w:pStyle w:val="Compact"/>
              <w:jc w:val="left"/>
            </w:pPr>
            <w:r>
              <w:t xml:space="preserve">Microsoft 365 Defender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12:30</w:t>
            </w:r>
          </w:p>
        </w:tc>
        <w:tc>
          <w:p>
            <w:pPr>
              <w:pStyle w:val="Compact"/>
              <w:jc w:val="left"/>
            </w:pPr>
            <w:r>
              <w:t xml:space="preserve">M365 mail flow rule applied to block the lookalike domain across the tenant.</w:t>
            </w:r>
          </w:p>
        </w:tc>
        <w:tc>
          <w:p>
            <w:pPr>
              <w:pStyle w:val="Compact"/>
              <w:jc w:val="left"/>
            </w:pPr>
            <w:r>
              <w:t xml:space="preserve">Microsoft 365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12:45</w:t>
            </w:r>
          </w:p>
        </w:tc>
        <w:tc>
          <w:p>
            <w:pPr>
              <w:pStyle w:val="Compact"/>
              <w:jc w:val="left"/>
            </w:pPr>
            <w:r>
              <w:t xml:space="preserve">CrowdStrike scan initiated on User-A's laptop and the eight other recipient endpoints. No malicious artifacts found on any device.</w:t>
            </w:r>
          </w:p>
        </w:tc>
        <w:tc>
          <w:p>
            <w:pPr>
              <w:pStyle w:val="Compact"/>
              <w:jc w:val="left"/>
            </w:pPr>
            <w:r>
              <w:t xml:space="preserve">CrowdStrike Falcon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p>
            <w:pPr>
              <w:pStyle w:val="Compact"/>
              <w:jc w:val="left"/>
            </w:pPr>
            <w:r>
              <w:t xml:space="preserve">Beazley insurer notified by GC as a precaution (within the 72-hour window of suspected covered event).</w:t>
            </w:r>
          </w:p>
        </w:tc>
        <w:tc>
          <w:p>
            <w:pPr>
              <w:pStyle w:val="Compact"/>
              <w:jc w:val="left"/>
            </w:pPr>
            <w:r>
              <w:t xml:space="preserve">Email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16:30</w:t>
            </w:r>
          </w:p>
        </w:tc>
        <w:tc>
          <w:p>
            <w:pPr>
              <w:pStyle w:val="Compact"/>
              <w:jc w:val="left"/>
            </w:pPr>
            <w:r>
              <w:t xml:space="preserve">First written status report delivered to Steering Committee.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 15</w:t>
            </w:r>
          </w:p>
        </w:tc>
        <w:tc>
          <w:p>
            <w:pPr>
              <w:pStyle w:val="Compact"/>
              <w:jc w:val="left"/>
            </w:pPr>
            <w:r>
              <w:t xml:space="preserve">Continued forensic review: Aurora pgAudit for User-A's identifier returns no production reads in the relevant window (User-A is a billing clerk and does not have direct production data access; this was confirmed).</w:t>
            </w:r>
          </w:p>
        </w:tc>
        <w:tc>
          <w:p>
            <w:pPr>
              <w:pStyle w:val="Compact"/>
              <w:jc w:val="left"/>
            </w:pPr>
            <w:r>
              <w:t xml:space="preserve">pgAudit + Okta application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 18</w:t>
            </w:r>
          </w:p>
        </w:tc>
        <w:tc>
          <w:p>
            <w:pPr>
              <w:pStyle w:val="Compact"/>
              <w:jc w:val="left"/>
            </w:pPr>
            <w:r>
              <w:t xml:space="preserve">Breach Assessment Workgroup meets to formalize §164.402 four-factor analysis.</w:t>
            </w:r>
          </w:p>
        </w:tc>
        <w:tc>
          <w:p>
            <w:pPr>
              <w:pStyle w:val="Compact"/>
              <w:jc w:val="left"/>
            </w:pPr>
            <w:r>
              <w:t xml:space="preserve">BREACH-ASSESS-2024-03-001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 19</w:t>
            </w:r>
          </w:p>
        </w:tc>
        <w:tc>
          <w:p>
            <w:pPr>
              <w:pStyle w:val="Compact"/>
              <w:jc w:val="left"/>
            </w:pPr>
            <w:r>
              <w:t xml:space="preserve">Determination: no breach per §164.402; no notification required.</w:t>
            </w:r>
          </w:p>
        </w:tc>
        <w:tc>
          <w:p>
            <w:pPr>
              <w:pStyle w:val="Compact"/>
              <w:jc w:val="left"/>
            </w:pPr>
            <w:r>
              <w:t xml:space="preserve">BREACH-ASSESS-2024-03-001, signed by GC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 22</w:t>
            </w:r>
          </w:p>
        </w:tc>
        <w:tc>
          <w:p>
            <w:pPr>
              <w:pStyle w:val="Compact"/>
              <w:jc w:val="left"/>
            </w:pPr>
            <w:r>
              <w:t xml:space="preserve">Incident closed; PIR scheduled for Mar 28.</w:t>
            </w:r>
          </w:p>
        </w:tc>
        <w:tc>
          <w:p>
            <w:pPr>
              <w:pStyle w:val="Compact"/>
              <w:jc w:val="left"/>
            </w:pPr>
            <w:r>
              <w:t xml:space="preserve">Jira closure</w:t>
            </w:r>
          </w:p>
        </w:tc>
      </w:tr>
    </w:tbl>
    <w:p>
      <w:pPr>
        <w:pStyle w:val="Heading2"/>
      </w:pPr>
      <w:bookmarkStart w:id="24" w:name="X87f76d534eb10edbe678f9e729b36a2935d8d29"/>
      <w:r>
        <w:t xml:space="preserve">4. Root Cause</w:t>
      </w:r>
      <w:bookmarkEnd w:id="24"/>
    </w:p>
    <w:p>
      <w:pPr>
        <w:pStyle w:val="FirstParagraph"/>
      </w:pPr>
      <w:r>
        <w:rPr>
          <w:b/>
        </w:rPr>
        <w:t xml:space="preserve">Primary technical root cause:</w:t>
      </w:r>
      <w:r>
        <w:t xml:space="preserve"> </w:t>
      </w:r>
      <w:r>
        <w:t xml:space="preserve">The phishing email reached User-A's inbox because the lookalike domain</w:t>
      </w:r>
      <w:r>
        <w:t xml:space="preserve"> </w:t>
      </w:r>
      <w:r>
        <w:rPr>
          <w:rStyle w:val="VerbatimChar"/>
        </w:rPr>
        <w:t xml:space="preserve">oktasso-mct[.]com</w:t>
      </w:r>
      <w:r>
        <w:t xml:space="preserve"> </w:t>
      </w:r>
      <w:r>
        <w:t xml:space="preserve">had been registered 36 hours earlier and was not yet present in Microsoft Defender's URL reputation feed. SafeLinks rewrote the URL but did not block it. This is a known limitation of pre-emptive reputation-based filtering against freshly registered domains.</w:t>
      </w:r>
    </w:p>
    <w:p>
      <w:pPr>
        <w:pStyle w:val="BodyText"/>
      </w:pPr>
      <w:r>
        <w:rPr>
          <w:b/>
        </w:rPr>
        <w:t xml:space="preserve">Identity factor:</w:t>
      </w:r>
      <w:r>
        <w:t xml:space="preserve"> </w:t>
      </w:r>
      <w:r>
        <w:t xml:space="preserve">The Customer Success billing-clerk role at the time of the incident used Okta Verify push as the second factor, not FIDO2/WebAuthn. While this control resisted the attack (the user did not approve the push), Okta Verify push is vulnerable to MFA fatigue and social engineering in adjacent scenarios.</w:t>
      </w:r>
      <w:r>
        <w:t xml:space="preserve"> </w:t>
      </w:r>
      <w:r>
        <w:rPr>
          <w:b/>
        </w:rPr>
        <w:t xml:space="preserve">The role had not been included in the FIDO2 rollout because the rollout had been scoped to engineers, security staff, and production-access administrators only.</w:t>
      </w:r>
      <w:r>
        <w:t xml:space="preserve"> </w:t>
      </w:r>
      <w:r>
        <w:t xml:space="preserve">The billing clerk role was not classified as production-access at the time. This scoping decision, made in 2023, was the principal organizational root cause.</w:t>
      </w:r>
    </w:p>
    <w:p>
      <w:pPr>
        <w:pStyle w:val="BodyText"/>
      </w:pPr>
      <w:r>
        <w:rPr>
          <w:b/>
        </w:rPr>
        <w:t xml:space="preserve">Human factor:</w:t>
      </w:r>
      <w:r>
        <w:t xml:space="preserve"> </w:t>
      </w:r>
      <w:r>
        <w:t xml:space="preserve">User-A acted correctly: she did not approve the push, escalated to her team lead and to security, and provided full forensic cooperation. The user's response was a positive control. However, the time between credential submission (10:33) and user awareness of trouble (11:02) was 29 minutes — the MFA-fatigue prompts were the user's first signal that something was wrong, not the credential submission itself. A user-side detection signal earlier would have been preferable.</w:t>
      </w:r>
    </w:p>
    <w:p>
      <w:pPr>
        <w:pStyle w:val="BodyText"/>
      </w:pPr>
      <w:r>
        <w:rPr>
          <w:b/>
        </w:rPr>
        <w:t xml:space="preserve">Five-whys:</w:t>
      </w:r>
    </w:p>
    <w:p>
      <w:pPr>
        <w:numPr>
          <w:ilvl w:val="0"/>
          <w:numId w:val="1001"/>
        </w:numPr>
        <w:pStyle w:val="Compact"/>
      </w:pPr>
      <w:r>
        <w:t xml:space="preserve">Why did this incident happen? — A user submitted credentials to a phishing page.</w:t>
      </w:r>
    </w:p>
    <w:p>
      <w:pPr>
        <w:numPr>
          <w:ilvl w:val="0"/>
          <w:numId w:val="1001"/>
        </w:numPr>
        <w:pStyle w:val="Compact"/>
      </w:pPr>
      <w:r>
        <w:t xml:space="preserve">Why was that possible? — The lookalike domain bypassed reputation filtering.</w:t>
      </w:r>
    </w:p>
    <w:p>
      <w:pPr>
        <w:numPr>
          <w:ilvl w:val="0"/>
          <w:numId w:val="1001"/>
        </w:numPr>
        <w:pStyle w:val="Compact"/>
      </w:pPr>
      <w:r>
        <w:t xml:space="preserve">Why did the credential submission not lead to compromise? — MFA stopped it; the user did not approve push.</w:t>
      </w:r>
    </w:p>
    <w:p>
      <w:pPr>
        <w:numPr>
          <w:ilvl w:val="0"/>
          <w:numId w:val="1001"/>
        </w:numPr>
        <w:pStyle w:val="Compact"/>
      </w:pPr>
      <w:r>
        <w:t xml:space="preserve">Why was MFA the only barrier? — The role was not on FIDO2 because FIDO2 scope was limited to production-access roles.</w:t>
      </w:r>
    </w:p>
    <w:p>
      <w:pPr>
        <w:numPr>
          <w:ilvl w:val="0"/>
          <w:numId w:val="1001"/>
        </w:numPr>
        <w:pStyle w:val="Compact"/>
      </w:pPr>
      <w:r>
        <w:t xml:space="preserve">Why was FIDO2 scope limited? — Phased rollout strategy in 2023 prioritized highest-risk roles. The PIR concluded this prioritization was reasonable at the time but the scope should be expanded.</w:t>
      </w:r>
    </w:p>
    <w:p>
      <w:pPr>
        <w:pStyle w:val="Heading2"/>
      </w:pPr>
      <w:bookmarkStart w:id="25" w:name="X6f975ff29b85851b7bca59512dd82a295d4f52a"/>
      <w:r>
        <w:t xml:space="preserve">5. Containment Actions Taken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Okta sessions revoked for User-A (11:23 EDT).</w:t>
      </w:r>
    </w:p>
    <w:p>
      <w:pPr>
        <w:numPr>
          <w:ilvl w:val="0"/>
          <w:numId w:val="1002"/>
        </w:numPr>
        <w:pStyle w:val="Compact"/>
      </w:pPr>
      <w:r>
        <w:t xml:space="preserve">Okta password reset; MFA factors marked for re-enrollment (11:23 EDT).</w:t>
      </w:r>
    </w:p>
    <w:p>
      <w:pPr>
        <w:numPr>
          <w:ilvl w:val="0"/>
          <w:numId w:val="1002"/>
        </w:numPr>
        <w:pStyle w:val="Compact"/>
      </w:pPr>
      <w:r>
        <w:t xml:space="preserve">Mail flow rule applied to block lookalike domain across the tenant (12:30 EDT).</w:t>
      </w:r>
    </w:p>
    <w:p>
      <w:pPr>
        <w:numPr>
          <w:ilvl w:val="0"/>
          <w:numId w:val="1002"/>
        </w:numPr>
        <w:pStyle w:val="Compact"/>
      </w:pPr>
      <w:r>
        <w:t xml:space="preserve">Email sweep across recipient cohort; quarantine of all nine emails (12:15 EDT).</w:t>
      </w:r>
    </w:p>
    <w:p>
      <w:pPr>
        <w:numPr>
          <w:ilvl w:val="0"/>
          <w:numId w:val="1002"/>
        </w:numPr>
        <w:pStyle w:val="Compact"/>
      </w:pPr>
      <w:r>
        <w:t xml:space="preserve">CrowdStrike scan of all nine recipient endpoints; no malware found (12:45 EDT and rolling).</w:t>
      </w:r>
    </w:p>
    <w:p>
      <w:pPr>
        <w:numPr>
          <w:ilvl w:val="0"/>
          <w:numId w:val="1002"/>
        </w:numPr>
        <w:pStyle w:val="Compact"/>
      </w:pPr>
      <w:r>
        <w:t xml:space="preserve">Datadog detection rule reviewed and validated (no tuning change required; rule fired correctly).</w:t>
      </w:r>
    </w:p>
    <w:p>
      <w:pPr>
        <w:numPr>
          <w:ilvl w:val="0"/>
          <w:numId w:val="1002"/>
        </w:numPr>
        <w:pStyle w:val="Compact"/>
      </w:pPr>
      <w:r>
        <w:t xml:space="preserve">Lookalike domain reported to Cloudflare (registrar) for takedown; takedown confirmed Mar 16.</w:t>
      </w:r>
    </w:p>
    <w:p>
      <w:pPr>
        <w:pStyle w:val="Heading2"/>
      </w:pPr>
      <w:bookmarkStart w:id="26" w:name="Xe16cf82be39279d5d43672b1d8418713cea7c9a"/>
      <w:r>
        <w:t xml:space="preserve">6. Evidence Collected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Hash (SHA-256)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phishing email (</w:t>
            </w:r>
            <w:r>
              <w:rPr>
                <w:rStyle w:val="VerbatimChar"/>
              </w:rPr>
              <w:t xml:space="preserve">.eml</w:t>
            </w:r>
            <w:r>
              <w:t xml:space="preserve"> </w:t>
            </w:r>
            <w:r>
              <w:t xml:space="preserve">× 9)</w:t>
            </w:r>
          </w:p>
        </w:tc>
        <w:tc>
          <w:p>
            <w:pPr>
              <w:pStyle w:val="Compact"/>
              <w:jc w:val="left"/>
            </w:pPr>
            <w:r>
              <w:t xml:space="preserve">Microsoft 365</w:t>
            </w:r>
          </w:p>
        </w:tc>
        <w:tc>
          <w:p>
            <w:pPr>
              <w:pStyle w:val="Compact"/>
              <w:jc w:val="left"/>
            </w:pPr>
            <w:r>
              <w:t xml:space="preserve">(per-file manifest in evidence bucket)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s3://mct-ir-evidence/2024-03-001/email/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Okta system log export (Mar 14, 09:00–18:00 EDT)</w:t>
            </w:r>
          </w:p>
        </w:tc>
        <w:tc>
          <w:p>
            <w:pPr>
              <w:pStyle w:val="Compact"/>
              <w:jc w:val="left"/>
            </w:pPr>
            <w:r>
              <w:t xml:space="preserve">Okta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0e3a…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s3://mct-ir-evidence/2024-03-001/okta/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Datadog SIEM alert export</w:t>
            </w:r>
          </w:p>
        </w:tc>
        <w:tc>
          <w:p>
            <w:pPr>
              <w:pStyle w:val="Compact"/>
              <w:jc w:val="left"/>
            </w:pPr>
            <w:r>
              <w:t xml:space="preserve">Datadog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7b41…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s3://mct-ir-evidence/2024-03-001/datadog/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User-A endpoint EDR snapshot</w:t>
            </w:r>
          </w:p>
        </w:tc>
        <w:tc>
          <w:p>
            <w:pPr>
              <w:pStyle w:val="Compact"/>
              <w:jc w:val="left"/>
            </w:pPr>
            <w:r>
              <w:t xml:space="preserve">CrowdStrike Falcon RTR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a228…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s3://mct-ir-evidence/2024-03-001/edr/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Aurora pgAudit query for User-A's identifier</w:t>
            </w:r>
          </w:p>
        </w:tc>
        <w:tc>
          <w:p>
            <w:pPr>
              <w:pStyle w:val="Compact"/>
              <w:jc w:val="left"/>
            </w:pPr>
            <w:r>
              <w:t xml:space="preserve">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d41a…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s3://mct-ir-evidence/2024-03-001/pgaudit/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BREACH-ASSESS-2024-03-001 (signed PDF)</w:t>
            </w:r>
          </w:p>
        </w:tc>
        <w:tc>
          <w:p>
            <w:pPr>
              <w:pStyle w:val="Compact"/>
              <w:jc w:val="left"/>
            </w:pPr>
            <w:r>
              <w:t xml:space="preserve">Workgroup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9c77…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s3://mct-ir-evidence/2024-03-001/breach-assess/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Mandiant retainer engagement summary</w:t>
            </w:r>
          </w:p>
        </w:tc>
        <w:tc>
          <w:p>
            <w:pPr>
              <w:pStyle w:val="Compact"/>
              <w:jc w:val="left"/>
            </w:pPr>
            <w:r>
              <w:t xml:space="preserve">Mandiant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b504…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s3://mct-ir-evidence/2024-03-001/external/</w:t>
            </w:r>
          </w:p>
        </w:tc>
      </w:tr>
    </w:tbl>
    <w:p>
      <w:pPr>
        <w:pStyle w:val="BodyText"/>
      </w:pPr>
      <w:r>
        <w:t xml:space="preserve">Chain of custody recorded in Jira</w:t>
      </w:r>
      <w:r>
        <w:t xml:space="preserve"> </w:t>
      </w:r>
      <w:r>
        <w:rPr>
          <w:rStyle w:val="VerbatimChar"/>
        </w:rPr>
        <w:t xml:space="preserve">SEC-IR-2024-014</w:t>
      </w:r>
      <w:r>
        <w:t xml:space="preserve">. Evidence bucket configuration: KMS-encrypted, MFA-delete enabled (added Mar 19, mid-incident, in response to a finding from this case), S3 Object Lock applied retroactively at closure.</w:t>
      </w:r>
    </w:p>
    <w:p>
      <w:pPr>
        <w:pStyle w:val="BodyText"/>
      </w:pPr>
      <w:r>
        <w:t xml:space="preserve">Retention until: March 22, 2031 (7-year HIPAA documentation retention).</w:t>
      </w:r>
    </w:p>
    <w:p>
      <w:pPr>
        <w:pStyle w:val="Heading2"/>
      </w:pPr>
      <w:bookmarkStart w:id="27" w:name="X20ff8be7ff9cf8d3ade20487599268cf4e8f1c7"/>
      <w:r>
        <w:t xml:space="preserve">7. BAA / Breach Assessment Outcome</w:t>
      </w:r>
      <w:bookmarkEnd w:id="27"/>
    </w:p>
    <w:p>
      <w:pPr>
        <w:pStyle w:val="FirstParagraph"/>
      </w:pPr>
      <w:r>
        <w:rPr>
          <w:b/>
        </w:rPr>
        <w:t xml:space="preserve">Reference:</w:t>
      </w:r>
      <w:r>
        <w:t xml:space="preserve"> </w:t>
      </w:r>
      <w:r>
        <w:t xml:space="preserve">BREACH-ASSESS-2024-03-001 (signed PDF, GC + CISO + Privacy Workgroup, March 19, 2024).</w:t>
      </w:r>
    </w:p>
    <w:p>
      <w:pPr>
        <w:pStyle w:val="BodyText"/>
      </w:pPr>
      <w:r>
        <w:t xml:space="preserve">The Breach Assessment Workgroup performed the four-factor analysis under 45 CFR §164.402(2):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Nature and extent of PHI involved.</w:t>
      </w:r>
      <w:r>
        <w:t xml:space="preserve"> </w:t>
      </w:r>
      <w:r>
        <w:t xml:space="preserve">No PHI was identified as having been accessed. User-A's role does not provide direct database access to PHI; her access is limited to billing-related tooling that surfaces only billing identifiers, not clinical detail. Even had the attacker successfully authenticated, the access vector did not provide PHI.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Unauthorized recipient.</w:t>
      </w:r>
      <w:r>
        <w:t xml:space="preserve"> </w:t>
      </w:r>
      <w:r>
        <w:t xml:space="preserve">External attacker, IP attributed to a known credential-harvesting infrastructure operator. No evidence of nation-state attribution.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Whether PHI was actually acquired or viewed.</w:t>
      </w:r>
      <w:r>
        <w:t xml:space="preserve"> </w:t>
      </w:r>
      <w:r>
        <w:t xml:space="preserve">Forensic evidence (Okta system log, Aurora pgAudit, Microsoft 365 audit log) confirms no successful authentication to any MCT system other than the unsuccessful Okta sign-in attempts (which never passed MFA). No PHI was acquired or viewed.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Extent to which the risk has been mitigated.</w:t>
      </w:r>
      <w:r>
        <w:t xml:space="preserve"> </w:t>
      </w:r>
      <w:r>
        <w:t xml:space="preserve">Credentials rotated; sessions revoked; lookalike domain blocked at the gateway; CrowdStrike sweep clean.</w:t>
      </w:r>
    </w:p>
    <w:p>
      <w:pPr>
        <w:pStyle w:val="FirstParagraph"/>
      </w:pPr>
      <w:r>
        <w:rPr>
          <w:b/>
        </w:rPr>
        <w:t xml:space="preserve">Determination:</w:t>
      </w:r>
      <w:r>
        <w:t xml:space="preserve"> </w:t>
      </w:r>
      <w:r>
        <w:t xml:space="preserve">The §164.402 presumption is</w:t>
      </w:r>
      <w:r>
        <w:t xml:space="preserve"> </w:t>
      </w:r>
      <w:r>
        <w:rPr>
          <w:b/>
        </w:rPr>
        <w:t xml:space="preserve">rebutted</w:t>
      </w:r>
      <w:r>
        <w:t xml:space="preserve"> </w:t>
      </w:r>
      <w:r>
        <w:t xml:space="preserve">by the documented absence of PHI acquisition or viewing.</w:t>
      </w:r>
      <w:r>
        <w:t xml:space="preserve"> </w:t>
      </w:r>
      <w:r>
        <w:rPr>
          <w:b/>
        </w:rPr>
        <w:t xml:space="preserve">No breach notification under HIPAA Breach Notification Rule is required.</w:t>
      </w:r>
      <w:r>
        <w:t xml:space="preserve"> </w:t>
      </w:r>
      <w:r>
        <w:t xml:space="preserve">No customer notification is required. Customers were notified informally as part of routine quarterly security update communications (October 2024) once the post-incident program improvements were in flight, but this was a courtesy posture, not a notification obligation.</w:t>
      </w:r>
    </w:p>
    <w:p>
      <w:pPr>
        <w:pStyle w:val="BodyText"/>
      </w:pPr>
      <w:r>
        <w:t xml:space="preserve">GC sign-off: Marcus Holbrook, March 19, 2024.</w:t>
      </w:r>
      <w:r>
        <w:t xml:space="preserve"> </w:t>
      </w:r>
      <w:r>
        <w:t xml:space="preserve">CISO concurrence: Sarah Yoon, March 19, 2024.</w:t>
      </w:r>
    </w:p>
    <w:p>
      <w:pPr>
        <w:pStyle w:val="Heading2"/>
      </w:pPr>
      <w:bookmarkStart w:id="28" w:name="X33fefcc6049ddf969ad6193f63a31133bf5d177"/>
      <w:r>
        <w:t xml:space="preserve">8. Customer and Regulator Notifications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Notified?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HHS OCR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 §164.402 breach.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AGs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 state-level notification trigger absent a federal breach.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 (BAA partners)</w:t>
            </w:r>
          </w:p>
        </w:tc>
        <w:tc>
          <w:p>
            <w:pPr>
              <w:pStyle w:val="Compact"/>
              <w:jc w:val="left"/>
            </w:pPr>
            <w:r>
              <w:t xml:space="preserve">No formal notification</w:t>
            </w:r>
          </w:p>
        </w:tc>
        <w:tc>
          <w:p>
            <w:pPr>
              <w:pStyle w:val="Compact"/>
              <w:jc w:val="left"/>
            </w:pPr>
            <w:r>
              <w:t xml:space="preserve">No §164.402 breach. Informal advisory posture in routine quarterly update Oct 2024.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Beazley insurer</w:t>
            </w:r>
          </w:p>
        </w:tc>
        <w:tc>
          <w:p>
            <w:pPr>
              <w:pStyle w:val="Compact"/>
              <w:jc w:val="left"/>
            </w:pPr>
            <w:r>
              <w:t xml:space="preserve">Yes — precautionary 14:00 EDT March 14</w:t>
            </w:r>
          </w:p>
        </w:tc>
        <w:tc>
          <w:p>
            <w:pPr>
              <w:pStyle w:val="Compact"/>
              <w:jc w:val="left"/>
            </w:pPr>
            <w:r>
              <w:t xml:space="preserve">Within 72-hour notice window; case closed by Beazley as no claim.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&amp; Risk Committee</w:t>
            </w:r>
          </w:p>
        </w:tc>
        <w:tc>
          <w:p>
            <w:pPr>
              <w:pStyle w:val="Compact"/>
              <w:jc w:val="left"/>
            </w:pPr>
            <w:r>
              <w:t xml:space="preserve">Yes — written brief Mar 28</w:t>
            </w:r>
          </w:p>
        </w:tc>
        <w:tc>
          <w:p>
            <w:pPr>
              <w:pStyle w:val="Compact"/>
              <w:jc w:val="left"/>
            </w:pPr>
            <w:r>
              <w:t xml:space="preserve">Standing escalation.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p>
            <w:pPr>
              <w:pStyle w:val="Compact"/>
              <w:jc w:val="left"/>
            </w:pPr>
            <w:r>
              <w:t xml:space="preserve">Yes — summary in Q1 2024 CISO report</w:t>
            </w:r>
          </w:p>
        </w:tc>
        <w:tc>
          <w:p>
            <w:pPr>
              <w:pStyle w:val="Compact"/>
              <w:jc w:val="left"/>
            </w:pPr>
            <w:r>
              <w:t xml:space="preserve">Standing reporting cadence.</w:t>
            </w:r>
          </w:p>
        </w:tc>
      </w:tr>
    </w:tbl>
    <w:p>
      <w:pPr>
        <w:pStyle w:val="Heading2"/>
      </w:pPr>
      <w:bookmarkStart w:id="29" w:name="X63346642f03ad93a77cc991aea844e8630c1982"/>
      <w:r>
        <w:t xml:space="preserve">9. Lessons Learned — Four Major Program Changes</w:t>
      </w:r>
      <w:bookmarkEnd w:id="29"/>
    </w:p>
    <w:p>
      <w:pPr>
        <w:pStyle w:val="FirstParagraph"/>
      </w:pPr>
      <w:r>
        <w:t xml:space="preserve">The PIR was held March 28, 2024. Four major program changes were endorsed by the Steering Committee and approved by the Board's Audit &amp; Risk Committee at its April 2024 meeting:</w:t>
      </w:r>
    </w:p>
    <w:p>
      <w:pPr>
        <w:numPr>
          <w:ilvl w:val="0"/>
          <w:numId w:val="1004"/>
        </w:numPr>
      </w:pPr>
      <w:r>
        <w:rPr>
          <w:b/>
        </w:rPr>
        <w:t xml:space="preserve">FIDO2 / WebAuthn scope expansion.</w:t>
      </w:r>
      <w:r>
        <w:t xml:space="preserve"> </w:t>
      </w:r>
      <w:r>
        <w:t xml:space="preserve">The Q4 2024 FIDO2 mandate was expanded beyond engineers and production-access administrators to include all production-access roles, security personnel, and engineers in the first phase, with phased enrollment of remaining workforce continuing through 2025. Full enforcement was achieved Q4 2025. Status:</w:t>
      </w:r>
      <w:r>
        <w:t xml:space="preserve"> </w:t>
      </w:r>
      <w:r>
        <w:rPr>
          <w:b/>
        </w:rPr>
        <w:t xml:space="preserve">closed; FIDO2 fully enforced for in-scope roles per POL-IAM-01.</w:t>
      </w:r>
    </w:p>
    <w:p>
      <w:pPr>
        <w:numPr>
          <w:ilvl w:val="0"/>
          <w:numId w:val="1004"/>
        </w:numPr>
      </w:pPr>
      <w:r>
        <w:rPr>
          <w:b/>
        </w:rPr>
        <w:t xml:space="preserve">Arctic Wolf 24x7 MDR contracted (May 2024).</w:t>
      </w:r>
      <w:r>
        <w:t xml:space="preserve"> </w:t>
      </w:r>
      <w:r>
        <w:t xml:space="preserve">The contract with Arctic Wolf was signed May 2024 to provide overnight (18:00–06:00 ET) and weekend tier-1 monitoring of Datadog SIEM and CrowdStrike alerts. Rationale: the on-call security engineer model was viable but stretched, and Pebble Phish underscored the need for human eyes on alerts continuously. Expansion to full tier-1 handoff under negotiation as of February 2026 (FY26 Priority 4). Status:</w:t>
      </w:r>
      <w:r>
        <w:t xml:space="preserve"> </w:t>
      </w:r>
      <w:r>
        <w:rPr>
          <w:b/>
        </w:rPr>
        <w:t xml:space="preserve">closed; Arctic Wolf operational since May 2024.</w:t>
      </w:r>
    </w:p>
    <w:p>
      <w:pPr>
        <w:numPr>
          <w:ilvl w:val="0"/>
          <w:numId w:val="1004"/>
        </w:numPr>
      </w:pPr>
      <w:r>
        <w:rPr>
          <w:b/>
        </w:rPr>
        <w:t xml:space="preserve">Quarterly phishing simulations targeting credential-harvesting scenarios.</w:t>
      </w:r>
      <w:r>
        <w:t xml:space="preserve"> </w:t>
      </w:r>
      <w:r>
        <w:t xml:space="preserve">The security awareness program added quarterly phishing simulations specifically targeting credential-harvesting and lookalike-domain scenarios, with targeted retraining for users who fail. The Q1 2024 baseline click rate (7.2%) has been driven down to 2.4% as of Q4 2025; report rate is 48%. Risk register entry R10 (Workforce phishing susceptibility) was closed Q3 2025 against this control. Status:</w:t>
      </w:r>
      <w:r>
        <w:t xml:space="preserve"> </w:t>
      </w:r>
      <w:r>
        <w:rPr>
          <w:b/>
        </w:rPr>
        <w:t xml:space="preserve">closed; program ongoing.</w:t>
      </w:r>
    </w:p>
    <w:p>
      <w:pPr>
        <w:numPr>
          <w:ilvl w:val="0"/>
          <w:numId w:val="1004"/>
        </w:numPr>
      </w:pPr>
      <w:r>
        <w:rPr>
          <w:b/>
        </w:rPr>
        <w:t xml:space="preserve">DLP project approved.</w:t>
      </w:r>
      <w:r>
        <w:t xml:space="preserve"> </w:t>
      </w:r>
      <w:r>
        <w:t xml:space="preserve">Microsoft Purview DLP (for Microsoft 365) and Netskope CASB (for sanctioned-SaaS DLP) and Wiz DSPM (for cloud data flow visibility) were approved in mid-2024 and entered design phase in 2025. Target deployment Q3 2026. Status:</w:t>
      </w:r>
      <w:r>
        <w:t xml:space="preserve"> </w:t>
      </w:r>
      <w:r>
        <w:rPr>
          <w:b/>
        </w:rPr>
        <w:t xml:space="preserve">in progress; FY26 priority 5.</w:t>
      </w:r>
    </w:p>
    <w:p>
      <w:pPr>
        <w:pStyle w:val="FirstParagraph"/>
      </w:pPr>
      <w:r>
        <w:t xml:space="preserve">Action items 1–3 are closed; action item 4 is in progress and tracked in the FY26 strategic plan.</w:t>
      </w:r>
    </w:p>
    <w:p>
      <w:pPr>
        <w:pStyle w:val="Heading2"/>
      </w:pPr>
      <w:bookmarkStart w:id="30" w:name="X8d74858ac2153e2c3262d3f3f069200756aa0bc"/>
      <w:r>
        <w:t xml:space="preserve">10. Retrospective Addendum (December 2025)</w:t>
      </w:r>
      <w:bookmarkEnd w:id="30"/>
    </w:p>
    <w:p>
      <w:pPr>
        <w:pStyle w:val="FirstParagraph"/>
      </w:pPr>
      <w:r>
        <w:t xml:space="preserve">A retrospective review of the case file was performed in December 2025 ahead of HITRUST validation. Findings:</w:t>
      </w:r>
    </w:p>
    <w:p>
      <w:pPr>
        <w:numPr>
          <w:ilvl w:val="0"/>
          <w:numId w:val="1005"/>
        </w:numPr>
        <w:pStyle w:val="Compact"/>
      </w:pPr>
      <w:r>
        <w:t xml:space="preserve">The four major program changes are demonstrably in place or progressing as documented above.</w:t>
      </w:r>
    </w:p>
    <w:p>
      <w:pPr>
        <w:numPr>
          <w:ilvl w:val="0"/>
          <w:numId w:val="1005"/>
        </w:numPr>
        <w:pStyle w:val="Compact"/>
      </w:pPr>
      <w:r>
        <w:t xml:space="preserve">The Q4 2025 IR tabletop on Snowflake credential exposure (RPT-IR-Tabletop-Q4-2025) referenced the four-factor §164.402 workflow used here as the procedural precedent.</w:t>
      </w:r>
    </w:p>
    <w:p>
      <w:pPr>
        <w:numPr>
          <w:ilvl w:val="0"/>
          <w:numId w:val="1005"/>
        </w:numPr>
        <w:pStyle w:val="Compact"/>
      </w:pPr>
      <w:r>
        <w:t xml:space="preserve">Risk register entry R10 (Workforce phishing susceptibility) was closed Q3 2025 with the click-rate KPI sustained below target.</w:t>
      </w:r>
    </w:p>
    <w:p>
      <w:pPr>
        <w:numPr>
          <w:ilvl w:val="0"/>
          <w:numId w:val="1005"/>
        </w:numPr>
        <w:pStyle w:val="Compact"/>
      </w:pPr>
      <w:r>
        <w:t xml:space="preserve">No further updates required; case file retained until March 22, 2031.</w:t>
      </w:r>
    </w:p>
    <w:p>
      <w:pPr>
        <w:pStyle w:val="Heading2"/>
      </w:pPr>
      <w:bookmarkStart w:id="31" w:name="Xe072e82f6cef491809852709d0353ea2bd74f0f"/>
      <w:r>
        <w:t xml:space="preserve">11. Sign-Off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Commander (original)</w:t>
            </w:r>
          </w:p>
        </w:tc>
        <w:tc>
          <w:p>
            <w:pPr>
              <w:pStyle w:val="Compact"/>
              <w:jc w:val="left"/>
            </w:pPr>
            <w:r>
              <w:t xml:space="preserve">M. Reilly</w:t>
            </w:r>
          </w:p>
        </w:tc>
        <w:tc>
          <w:p>
            <w:pPr>
              <w:pStyle w:val="Compact"/>
              <w:jc w:val="left"/>
            </w:pPr>
            <w:r>
              <w:t xml:space="preserve">2024-03-22 (departed Aug 2024)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Commander of record (closure)</w:t>
            </w:r>
          </w:p>
        </w:tc>
        <w:tc>
          <w:p>
            <w:pPr>
              <w:pStyle w:val="Compact"/>
              <w:jc w:val="left"/>
            </w:pPr>
            <w:r>
              <w:t xml:space="preserve">Marcus Tan</w:t>
            </w:r>
          </w:p>
        </w:tc>
        <w:tc>
          <w:p>
            <w:pPr>
              <w:pStyle w:val="Compact"/>
              <w:jc w:val="left"/>
            </w:pPr>
            <w:r>
              <w:t xml:space="preserve">2024-09-30 (file inheritance)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Sarah Yoon</w:t>
            </w:r>
          </w:p>
        </w:tc>
        <w:tc>
          <w:p>
            <w:pPr>
              <w:pStyle w:val="Compact"/>
              <w:jc w:val="left"/>
            </w:pPr>
            <w:r>
              <w:t xml:space="preserve">2024-03-22 (closure); 2025-12-15 (retrospective)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 Counsel</w:t>
            </w:r>
          </w:p>
        </w:tc>
        <w:tc>
          <w:p>
            <w:pPr>
              <w:pStyle w:val="Compact"/>
              <w:jc w:val="left"/>
            </w:pPr>
            <w:r>
              <w:t xml:space="preserve">Marcus Holbrook</w:t>
            </w:r>
          </w:p>
        </w:tc>
        <w:tc>
          <w:p>
            <w:pPr>
              <w:pStyle w:val="Compact"/>
              <w:jc w:val="left"/>
            </w:pPr>
            <w:r>
              <w:t xml:space="preserve">2024-03-22 (closure); 2025-12-15 (retrospective)</w:t>
            </w:r>
          </w:p>
        </w:tc>
      </w:tr>
    </w:tbl>
    <w:p>
      <w:pPr>
        <w:pStyle w:val="Heading2"/>
      </w:pPr>
      <w:bookmarkStart w:id="32" w:name="X616dfa67b0537e832b863168e58d76928101a63"/>
      <w:r>
        <w:t xml:space="preserve">12. Linked Documents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PLN-IR-01 Incident Response Plan §10</w:t>
      </w:r>
    </w:p>
    <w:p>
      <w:pPr>
        <w:numPr>
          <w:ilvl w:val="0"/>
          <w:numId w:val="1006"/>
        </w:numPr>
        <w:pStyle w:val="Compact"/>
      </w:pPr>
      <w:r>
        <w:t xml:space="preserve">BREACH-ASSESS-2024-03-001 (signed PDF in evidence bucket)</w:t>
      </w:r>
    </w:p>
    <w:p>
      <w:pPr>
        <w:numPr>
          <w:ilvl w:val="0"/>
          <w:numId w:val="1006"/>
        </w:numPr>
        <w:pStyle w:val="Compact"/>
      </w:pPr>
      <w:r>
        <w:t xml:space="preserve">POL-IAM-01 Identity and Access Management Policy (FIDO2 scope)</w:t>
      </w:r>
    </w:p>
    <w:p>
      <w:pPr>
        <w:numPr>
          <w:ilvl w:val="0"/>
          <w:numId w:val="1006"/>
        </w:numPr>
        <w:pStyle w:val="Compact"/>
      </w:pPr>
      <w:r>
        <w:t xml:space="preserve">PLN-SA-01 Security Awareness Program Plan</w:t>
      </w:r>
    </w:p>
    <w:p>
      <w:pPr>
        <w:numPr>
          <w:ilvl w:val="0"/>
          <w:numId w:val="1006"/>
        </w:numPr>
        <w:pStyle w:val="Compact"/>
      </w:pPr>
      <w:r>
        <w:t xml:space="preserve">RISK-Cyber-Risk-Register R10 (closed)</w:t>
      </w:r>
    </w:p>
    <w:p>
      <w:pPr>
        <w:numPr>
          <w:ilvl w:val="0"/>
          <w:numId w:val="1006"/>
        </w:numPr>
        <w:pStyle w:val="Compact"/>
      </w:pPr>
      <w:r>
        <w:t xml:space="preserve">MINUTES-Audit-Risk-Committee-Q2-2024 (program changes endorsement)</w:t>
      </w:r>
    </w:p>
    <w:p>
      <w:pPr>
        <w:pStyle w:val="Heading2"/>
      </w:pPr>
      <w:bookmarkStart w:id="33" w:name="Xa91afc06ecc74b873927e5fff585411ec9ad056"/>
      <w:r>
        <w:t xml:space="preserve">13. Document Control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2024-03-19</w:t>
            </w:r>
          </w:p>
        </w:tc>
        <w:tc>
          <w:p>
            <w:pPr>
              <w:pStyle w:val="Compact"/>
              <w:jc w:val="left"/>
            </w:pPr>
            <w:r>
              <w:t xml:space="preserve">M. Reilly</w:t>
            </w:r>
          </w:p>
        </w:tc>
        <w:tc>
          <w:p>
            <w:pPr>
              <w:pStyle w:val="Compact"/>
              <w:jc w:val="left"/>
            </w:pPr>
            <w:r>
              <w:t xml:space="preserve">Active incident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2024-03-22</w:t>
            </w:r>
          </w:p>
        </w:tc>
        <w:tc>
          <w:p>
            <w:pPr>
              <w:pStyle w:val="Compact"/>
              <w:jc w:val="left"/>
            </w:pPr>
            <w:r>
              <w:t xml:space="preserve">M. Reilly</w:t>
            </w:r>
          </w:p>
        </w:tc>
        <w:tc>
          <w:p>
            <w:pPr>
              <w:pStyle w:val="Compact"/>
              <w:jc w:val="left"/>
            </w:pPr>
            <w:r>
              <w:t xml:space="preserve">Closure record; PIR endorsed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2024-09-30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File inheritance; structure cleanup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2025-12-15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December 2025 retrospective addendum (§10)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2026-04-30T19:08:44Z</dcterms:created>
  <dcterms:modified xsi:type="dcterms:W3CDTF">2026-04-30T19:08:44Z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