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siness-continuity-plan"/>
      <w:r>
        <w:t xml:space="preserve">Business Continuity Plan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PLN-BCP-01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3.1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12, 2025 (annual review)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Helena Park, CEO; David Mehta, CTO; 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Jordan Park, GRC Manager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All MCT personnel; published on internal wiki; redacted version available to customers under NDA on request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Business Continuity Plan ("BCP" or "Plan") establishes Meridian Care Technologies, Inc.'s ("MCT") approach to maintaining critical business functions during and after a disruptive event. It is the companion document to the Disaster Recovery Plan (PLN-DRP-01), which addresses technical restoration of MeridianCare platform services. This Plan addresses</w:t>
      </w:r>
      <w:r>
        <w:t xml:space="preserve"> </w:t>
      </w:r>
      <w:r>
        <w:rPr>
          <w:b/>
        </w:rPr>
        <w:t xml:space="preserve">business</w:t>
      </w:r>
      <w:r>
        <w:t xml:space="preserve"> </w:t>
      </w:r>
      <w:r>
        <w:t xml:space="preserve">continuity — workforce, premises, communications, customer relationships, and supplier dependencies.</w:t>
      </w:r>
    </w:p>
    <w:p>
      <w:pPr>
        <w:pStyle w:val="BodyText"/>
      </w:pPr>
      <w:r>
        <w:t xml:space="preserve">This Plan derives its priorities from the Business Impact Analysis (BIA-2025-12) and is the operational expression of POL-001 §3.13.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Plan applies to:</w:t>
      </w:r>
    </w:p>
    <w:p>
      <w:pPr>
        <w:numPr>
          <w:ilvl w:val="0"/>
          <w:numId w:val="1001"/>
        </w:numPr>
        <w:pStyle w:val="Compact"/>
      </w:pPr>
      <w:r>
        <w:t xml:space="preserve">All MCT business operations, including the Raleigh HQ, the Pittsburgh secondary site, and the distributed remote workforce.</w:t>
      </w:r>
    </w:p>
    <w:p>
      <w:pPr>
        <w:numPr>
          <w:ilvl w:val="0"/>
          <w:numId w:val="1001"/>
        </w:numPr>
        <w:pStyle w:val="Compact"/>
      </w:pPr>
      <w:r>
        <w:t xml:space="preserve">All critical business functions identified in BIA-2025-12 §3 and §4.</w:t>
      </w:r>
    </w:p>
    <w:p>
      <w:pPr>
        <w:numPr>
          <w:ilvl w:val="0"/>
          <w:numId w:val="1001"/>
        </w:numPr>
        <w:pStyle w:val="Compact"/>
      </w:pPr>
      <w:r>
        <w:t xml:space="preserve">Disruption scenarios in scope: full or partial loss of the Raleigh HQ; full or partial loss of the Pittsburgh site; sustained loss of a critical supplier (AWS, Okta, Snowflake); pandemic or comparable workforce-availability event; major cybersecurity incident with operational consequences.</w:t>
      </w:r>
    </w:p>
    <w:p>
      <w:pPr>
        <w:pStyle w:val="FirstParagraph"/>
      </w:pPr>
      <w:r>
        <w:t xml:space="preserve">Disruptions limited to platform availability without business-process impact are governed by PLN-DRP-01.</w:t>
      </w:r>
    </w:p>
    <w:p>
      <w:pPr>
        <w:pStyle w:val="Heading2"/>
      </w:pPr>
      <w:bookmarkStart w:id="23" w:name="Xf01697165a1ac09f4b0080a4c55fdc6504d96b4"/>
      <w:r>
        <w:t xml:space="preserve">3. Authorities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BCP activation</w:t>
            </w:r>
          </w:p>
        </w:tc>
        <w:tc>
          <w:p>
            <w:pPr>
              <w:pStyle w:val="Compact"/>
              <w:jc w:val="left"/>
            </w:pPr>
            <w:r>
              <w:t xml:space="preserve">CEO (Helena Park); designated alternate: CTO (David Mehta)</w:t>
            </w:r>
          </w:p>
        </w:tc>
        <w:tc>
          <w:p>
            <w:pPr>
              <w:pStyle w:val="Compact"/>
              <w:jc w:val="left"/>
            </w:pPr>
            <w:r>
              <w:t xml:space="preserve">Activation declared in writing (email or Slack</w:t>
            </w:r>
            <w:r>
              <w:t xml:space="preserve"> </w:t>
            </w:r>
            <w:r>
              <w:rPr>
                <w:rStyle w:val="VerbatimChar"/>
              </w:rPr>
              <w:t xml:space="preserve">#bcp-activation</w:t>
            </w:r>
            <w:r>
              <w:t xml:space="preserve">) with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BCP coordinator</w:t>
            </w:r>
          </w:p>
        </w:tc>
        <w:tc>
          <w:p>
            <w:pPr>
              <w:pStyle w:val="Compact"/>
              <w:jc w:val="left"/>
            </w:pPr>
            <w:r>
              <w:t xml:space="preserve">GRC Manager (Jordan Park); designated alternate: VP Customer Success (Lauren Pham)</w:t>
            </w:r>
          </w:p>
        </w:tc>
        <w:tc>
          <w:p>
            <w:pPr>
              <w:pStyle w:val="Compact"/>
              <w:jc w:val="left"/>
            </w:pPr>
            <w:r>
              <w:t xml:space="preserve">Operational lead during activation.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Communications lead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 (Lauren Pham) for customer communications; CPO (Linda Chao) for workforce communications</w:t>
            </w:r>
          </w:p>
        </w:tc>
        <w:tc>
          <w:p>
            <w:pPr>
              <w:pStyle w:val="Compact"/>
              <w:jc w:val="left"/>
            </w:pPr>
            <w:r>
              <w:t xml:space="preserve">Authorized by CEO.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Workforce continuity decisions (remote-only mandate, site closure)</w:t>
            </w:r>
          </w:p>
        </w:tc>
        <w:tc>
          <w:p>
            <w:pPr>
              <w:pStyle w:val="Compact"/>
              <w:jc w:val="left"/>
            </w:pPr>
            <w:r>
              <w:t xml:space="preserve">CPO + CEO</w:t>
            </w:r>
          </w:p>
        </w:tc>
        <w:tc>
          <w:p>
            <w:pPr>
              <w:pStyle w:val="Compact"/>
              <w:jc w:val="left"/>
            </w:pPr>
            <w:r>
              <w:t xml:space="preserve">Joint authority.</w:t>
            </w:r>
          </w:p>
        </w:tc>
      </w:tr>
    </w:tbl>
    <w:p>
      <w:pPr>
        <w:pStyle w:val="Heading2"/>
      </w:pPr>
      <w:bookmarkStart w:id="24" w:name="X4096cf5165f512183c33282b2a7894bd7f62b30"/>
      <w:r>
        <w:t xml:space="preserve">4. Service Tiering and Continuity Priorities</w:t>
      </w:r>
      <w:bookmarkEnd w:id="24"/>
    </w:p>
    <w:p>
      <w:pPr>
        <w:pStyle w:val="FirstParagraph"/>
      </w:pPr>
      <w:r>
        <w:t xml:space="preserve">Service tiering is inherited from BIA-2025-12 §3 and remains authoritative. The continuity priorities below are the</w:t>
      </w:r>
      <w:r>
        <w:t xml:space="preserve"> </w:t>
      </w:r>
      <w:r>
        <w:rPr>
          <w:b/>
        </w:rPr>
        <w:t xml:space="preserve">business-side</w:t>
      </w:r>
      <w:r>
        <w:t xml:space="preserve"> </w:t>
      </w:r>
      <w:r>
        <w:t xml:space="preserve">priorities that complement the technical RTO/RPO commitments.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Continuity 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Maximum Tolerable Period of Disruption (MTPD)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Transitions of Care; Referral Lifecycle Management</w:t>
            </w:r>
          </w:p>
        </w:tc>
        <w:tc>
          <w:p>
            <w:pPr>
              <w:pStyle w:val="Compact"/>
              <w:jc w:val="left"/>
            </w:pPr>
            <w:r>
              <w:t xml:space="preserve">Highest. Customer-facing care coordination; clinical workflow.</w:t>
            </w:r>
          </w:p>
        </w:tc>
        <w:tc>
          <w:p>
            <w:pPr>
              <w:pStyle w:val="Compact"/>
              <w:jc w:val="left"/>
            </w:pPr>
            <w:r>
              <w:t xml:space="preserve">24 hours before customer escalation; 72 hours before existential reputational risk.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Chronic Care Management; Population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High. Customer-facing operational and analytical workflows.</w:t>
            </w:r>
          </w:p>
        </w:tc>
        <w:tc>
          <w:p>
            <w:pPr>
              <w:pStyle w:val="Compact"/>
              <w:jc w:val="left"/>
            </w:pPr>
            <w:r>
              <w:t xml:space="preserve">72 hours before material customer revenue / SLA exposure.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Internal reporting; corporate IT (M365); marketing site</w:t>
            </w:r>
          </w:p>
        </w:tc>
        <w:tc>
          <w:p>
            <w:pPr>
              <w:pStyle w:val="Compact"/>
              <w:jc w:val="left"/>
            </w:pPr>
            <w:r>
              <w:t xml:space="preserve">Standard. Internal operations.</w:t>
            </w:r>
          </w:p>
        </w:tc>
        <w:tc>
          <w:p>
            <w:pPr>
              <w:pStyle w:val="Compact"/>
              <w:jc w:val="left"/>
            </w:pPr>
            <w:r>
              <w:t xml:space="preserve">1 week before material internal-operations impact.</w:t>
            </w:r>
          </w:p>
        </w:tc>
      </w:tr>
    </w:tbl>
    <w:p>
      <w:pPr>
        <w:pStyle w:val="Heading2"/>
      </w:pPr>
      <w:bookmarkStart w:id="25" w:name="Xaa4fa81a40a7fbd1006f7e098d58c82567cfaa2"/>
      <w:r>
        <w:t xml:space="preserve">5. Critical Business Functions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P-tier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Continuity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Customer-facing platform operations (production engineering on-call; customer support tier-1)</w:t>
            </w:r>
          </w:p>
        </w:tc>
        <w:tc>
          <w:p>
            <w:pPr>
              <w:pStyle w:val="Compact"/>
              <w:jc w:val="left"/>
            </w:pPr>
            <w:r>
              <w:t xml:space="preserve">VP Engineering; VP 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Distributed engineering on-call (no single-site dependency); customer support tier-1 staffed across Raleigh, Pittsburgh, and remote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IR team is mostly remote-first; no physical-site dependency for IR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communications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p>
            <w:pPr>
              <w:pStyle w:val="Compact"/>
              <w:jc w:val="left"/>
            </w:pPr>
            <w:r>
              <w:t xml:space="preserve">Lauren Pham + her team across Raleigh and remote; primary channel is the customer portal (cloud-hosted, not site-dependent)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Some customer implementation work is in-person at customer sites; rescheduling fallback is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close, AR, payroll</w:t>
            </w:r>
          </w:p>
        </w:tc>
        <w:tc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p>
            <w:pPr>
              <w:pStyle w:val="Compact"/>
              <w:jc w:val="left"/>
            </w:pPr>
            <w:r>
              <w:t xml:space="preserve">P2/P3</w:t>
            </w:r>
          </w:p>
        </w:tc>
        <w:tc>
          <w:p>
            <w:pPr>
              <w:pStyle w:val="Compact"/>
              <w:jc w:val="left"/>
            </w:pPr>
            <w:r>
              <w:t xml:space="preserve">Greg Hartman's team is hybrid Raleigh/remote; payroll processed by ADP (cloud)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/ People operations</w:t>
            </w:r>
          </w:p>
        </w:tc>
        <w:tc>
          <w:p>
            <w:pPr>
              <w:pStyle w:val="Compact"/>
              <w:jc w:val="left"/>
            </w:pPr>
            <w:r>
              <w:t xml:space="preserve">CPO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Linda Chao's team is hybrid Raleigh/remote; Workday is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Sales, marketing</w:t>
            </w:r>
          </w:p>
        </w:tc>
        <w:tc>
          <w:p>
            <w:pPr>
              <w:pStyle w:val="Compact"/>
              <w:jc w:val="left"/>
            </w:pPr>
            <w:r>
              <w:t xml:space="preserve">CRO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Distributed; Salesforce, HubSpot are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p>
            <w:pPr>
              <w:pStyle w:val="Compact"/>
              <w:jc w:val="left"/>
            </w:pPr>
            <w:r>
              <w:t xml:space="preserve">P1 (during incidents) / P3 (otherwise)</w:t>
            </w:r>
          </w:p>
        </w:tc>
        <w:tc>
          <w:p>
            <w:pPr>
              <w:pStyle w:val="Compact"/>
              <w:jc w:val="left"/>
            </w:pPr>
            <w:r>
              <w:t xml:space="preserve">Marcus Holbrook + outside counsel retainer (Crowell &amp; Moring)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Operations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Distributed clinically licensed advisors; primarily remote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Security operations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All 6 FTE remote-capable; on-call rotation</w:t>
            </w:r>
          </w:p>
        </w:tc>
      </w:tr>
    </w:tbl>
    <w:p>
      <w:pPr>
        <w:pStyle w:val="Heading2"/>
      </w:pPr>
      <w:bookmarkStart w:id="26" w:name="X668de3ad9014b262a721483d8758b3e0aafda48"/>
      <w:r>
        <w:t xml:space="preserve">6. Premises and Alternate Sites</w:t>
      </w:r>
      <w:bookmarkEnd w:id="26"/>
    </w:p>
    <w:p>
      <w:pPr>
        <w:pStyle w:val="Heading3"/>
      </w:pPr>
      <w:bookmarkStart w:id="27" w:name="Xf62fc0eb3882e327ff83d5c2c524311f191b738"/>
      <w:r>
        <w:t xml:space="preserve">6.1 Primary site — Raleigh HQ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210 FTE on-site or hybrid.</w:t>
      </w:r>
    </w:p>
    <w:p>
      <w:pPr>
        <w:numPr>
          <w:ilvl w:val="0"/>
          <w:numId w:val="1002"/>
        </w:numPr>
        <w:pStyle w:val="Compact"/>
      </w:pPr>
      <w:r>
        <w:t xml:space="preserve">No production systems run at Raleigh; the legacy ETL cluster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P1 (it serves a deprecating EHR integration for two long-tenured customers and is scheduled for decommission Q4 2026).</w:t>
      </w:r>
    </w:p>
    <w:p>
      <w:pPr>
        <w:numPr>
          <w:ilvl w:val="0"/>
          <w:numId w:val="1002"/>
        </w:numPr>
        <w:pStyle w:val="Compact"/>
      </w:pPr>
      <w:r>
        <w:t xml:space="preserve">Loss of the Raleigh HQ would not block production response; it would block in-person all-hands gatherings, in-person workshops with customers visiting Raleigh, and routine in-office collaboration.</w:t>
      </w:r>
    </w:p>
    <w:p>
      <w:pPr>
        <w:pStyle w:val="Heading3"/>
      </w:pPr>
      <w:bookmarkStart w:id="28" w:name="X63254cc2725817ea8b73fa39dde2c58ec532ec4"/>
      <w:r>
        <w:t xml:space="preserve">6.2 Secondary site — Pittsburgh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38 FTE on-site or hybrid (acquired October 2022 with the Population Insights analytics technology from Caduceus Analytics).</w:t>
      </w:r>
    </w:p>
    <w:p>
      <w:pPr>
        <w:numPr>
          <w:ilvl w:val="0"/>
          <w:numId w:val="1003"/>
        </w:numPr>
        <w:pStyle w:val="Compact"/>
      </w:pPr>
      <w:r>
        <w:t xml:space="preserve">Pittsburgh is a viable secondary site for in-person operations if Raleigh is lost. It is not a hot data-center failover; the platform is cloud-native (AWS).</w:t>
      </w:r>
    </w:p>
    <w:p>
      <w:pPr>
        <w:pStyle w:val="Heading3"/>
      </w:pPr>
      <w:bookmarkStart w:id="29" w:name="Xfb1366b1f577cd6e0b6772cd0650c16f2267f03"/>
      <w:r>
        <w:t xml:space="preserve">6.3 Distributed remote workforce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~30% of the workforce is fully remote; the remainder is hybrid with significant remote capability.</w:t>
      </w:r>
    </w:p>
    <w:p>
      <w:pPr>
        <w:numPr>
          <w:ilvl w:val="0"/>
          <w:numId w:val="1004"/>
        </w:numPr>
        <w:pStyle w:val="Compact"/>
      </w:pPr>
      <w:r>
        <w:t xml:space="preserve">All employees are equipped with managed laptops (Jamf for macOS, Intune for Windows), Okta, Microsoft 365, conferencing (Zoom), and VPN where needed (production access requires Okta + FIDO2 — no VPN dependency).</w:t>
      </w:r>
    </w:p>
    <w:p>
      <w:pPr>
        <w:numPr>
          <w:ilvl w:val="0"/>
          <w:numId w:val="1004"/>
        </w:numPr>
        <w:pStyle w:val="Compact"/>
      </w:pPr>
      <w:r>
        <w:t xml:space="preserve">A loss of both physical sites simultaneously would still allow the workforce to operate remote-first within hours.</w:t>
      </w:r>
    </w:p>
    <w:p>
      <w:pPr>
        <w:pStyle w:val="Heading3"/>
      </w:pPr>
      <w:bookmarkStart w:id="30" w:name="Xe39465469d2382de955dcb715beb293c7cdfe10"/>
      <w:r>
        <w:t xml:space="preserve">6.4 Site loss recovery sequence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evacuation event (any cause)</w:t>
            </w:r>
          </w:p>
        </w:tc>
        <w:tc>
          <w:p>
            <w:pPr>
              <w:pStyle w:val="Compact"/>
              <w:jc w:val="left"/>
            </w:pPr>
            <w:r>
              <w:t xml:space="preserve">Account for personnel via Workday emergency check-in</w:t>
            </w:r>
          </w:p>
        </w:tc>
        <w:tc>
          <w:p>
            <w:pPr>
              <w:pStyle w:val="Compact"/>
              <w:jc w:val="left"/>
            </w:pPr>
            <w:r>
              <w:t xml:space="preserve">CPO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inaccessibility &gt;24h</w:t>
            </w:r>
          </w:p>
        </w:tc>
        <w:tc>
          <w:p>
            <w:pPr>
              <w:pStyle w:val="Compact"/>
              <w:jc w:val="left"/>
            </w:pPr>
            <w:r>
              <w:t xml:space="preserve">Activate remote-first operating posture; cancel/reschedule in-person meetings</w:t>
            </w:r>
          </w:p>
        </w:tc>
        <w:tc>
          <w:p>
            <w:pPr>
              <w:pStyle w:val="Compact"/>
              <w:jc w:val="left"/>
            </w:pPr>
            <w:r>
              <w:t xml:space="preserve">CPO + CEO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inaccessibility &gt;7 days</w:t>
            </w:r>
          </w:p>
        </w:tc>
        <w:tc>
          <w:p>
            <w:pPr>
              <w:pStyle w:val="Compact"/>
              <w:jc w:val="left"/>
            </w:pPr>
            <w:r>
              <w:t xml:space="preserve">Pittsburgh becomes interim primary for in-person needs; Raleigh lease and IT-equipment recovery planning begins</w:t>
            </w:r>
          </w:p>
        </w:tc>
        <w:tc>
          <w:p>
            <w:pPr>
              <w:pStyle w:val="Compact"/>
              <w:jc w:val="left"/>
            </w:pPr>
            <w:r>
              <w:t xml:space="preserve">CFO + CPO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Permanent or long-duration loss of primary site</w:t>
            </w:r>
          </w:p>
        </w:tc>
        <w:tc>
          <w:p>
            <w:pPr>
              <w:pStyle w:val="Compact"/>
              <w:jc w:val="left"/>
            </w:pPr>
            <w:r>
              <w:t xml:space="preserve">Board-level decision on lease replacement</w:t>
            </w:r>
          </w:p>
        </w:tc>
        <w:tc>
          <w:p>
            <w:pPr>
              <w:pStyle w:val="Compact"/>
              <w:jc w:val="left"/>
            </w:pPr>
            <w:r>
              <w:t xml:space="preserve">CEO + Board</w:t>
            </w:r>
          </w:p>
        </w:tc>
        <w:tc>
          <w:p>
            <w:pPr>
              <w:pStyle w:val="Compact"/>
              <w:jc w:val="left"/>
            </w:pPr>
            <w:r>
              <w:t xml:space="preserve">Per Board cadence</w:t>
            </w:r>
          </w:p>
        </w:tc>
      </w:tr>
    </w:tbl>
    <w:p>
      <w:pPr>
        <w:pStyle w:val="Heading2"/>
      </w:pPr>
      <w:bookmarkStart w:id="31" w:name="Xf9484a8074fae3146556b557528bf51f5bf3d3a"/>
      <w:r>
        <w:t xml:space="preserve">7. Workforce Continuity</w:t>
      </w:r>
      <w:bookmarkEnd w:id="31"/>
    </w:p>
    <w:p>
      <w:pPr>
        <w:pStyle w:val="Heading3"/>
      </w:pPr>
      <w:bookmarkStart w:id="32" w:name="X82857d14b874b1c85cc930803bcb2eb87020016"/>
      <w:r>
        <w:t xml:space="preserve">7.1 Critical role coverage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Helena Park</w:t>
            </w:r>
          </w:p>
        </w:tc>
        <w:tc>
          <w:p>
            <w:pPr>
              <w:pStyle w:val="Compact"/>
              <w:jc w:val="left"/>
            </w:pPr>
            <w:r>
              <w:t xml:space="preserve">CTO (David Mehta) per Board succession</w:t>
            </w:r>
          </w:p>
        </w:tc>
        <w:tc>
          <w:p>
            <w:pPr>
              <w:pStyle w:val="Compact"/>
              <w:jc w:val="left"/>
            </w:pPr>
            <w:r>
              <w:t xml:space="preserve">Approved by Board Dec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Sarah Yoon</w:t>
            </w:r>
          </w:p>
        </w:tc>
        <w:tc>
          <w:p>
            <w:pPr>
              <w:pStyle w:val="Compact"/>
              <w:jc w:val="left"/>
            </w:pPr>
            <w:r>
              <w:t xml:space="preserve">Marcus Tan (Sec Eng D&amp;R)</w:t>
            </w:r>
          </w:p>
        </w:tc>
        <w:tc>
          <w:p>
            <w:pPr>
              <w:pStyle w:val="Compact"/>
              <w:jc w:val="left"/>
            </w:pPr>
            <w:r>
              <w:t xml:space="preserve">Cross-trained in 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 / Privacy Officer</w:t>
            </w:r>
          </w:p>
        </w:tc>
        <w:tc>
          <w:p>
            <w:pPr>
              <w:pStyle w:val="Compact"/>
              <w:jc w:val="left"/>
            </w:pPr>
            <w:r>
              <w:t xml:space="preserve">Marcus Holbrook</w:t>
            </w:r>
          </w:p>
        </w:tc>
        <w:tc>
          <w:p>
            <w:pPr>
              <w:pStyle w:val="Compact"/>
              <w:jc w:val="left"/>
            </w:pPr>
            <w:r>
              <w:t xml:space="preserve">Outside counsel (Crowell &amp; Moring); deputy assignment under review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Single-point-of-failure noted</w:t>
            </w:r>
            <w:r>
              <w:t xml:space="preserve"> </w:t>
            </w:r>
            <w:r>
              <w:t xml:space="preserve">— see §11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David Mehta</w:t>
            </w:r>
          </w:p>
        </w:tc>
        <w:tc>
          <w:p>
            <w:pPr>
              <w:pStyle w:val="Compact"/>
              <w:jc w:val="left"/>
            </w:pPr>
            <w:r>
              <w:t xml:space="preserve">VP Engineering (Tomás Reyes)</w:t>
            </w:r>
          </w:p>
        </w:tc>
        <w:tc>
          <w:p>
            <w:pPr>
              <w:pStyle w:val="Compact"/>
              <w:jc w:val="left"/>
            </w:pPr>
            <w:r>
              <w:t xml:space="preserve">Production-access continuity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Commander (IR)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A. Reyes; J. Park</w:t>
            </w:r>
          </w:p>
        </w:tc>
        <w:tc>
          <w:p>
            <w:pPr>
              <w:pStyle w:val="Compact"/>
              <w:jc w:val="left"/>
            </w:pPr>
            <w:r>
              <w:t xml:space="preserve">Cross-trained per IR program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Communication Lead</w:t>
            </w:r>
          </w:p>
        </w:tc>
        <w:tc>
          <w:p>
            <w:pPr>
              <w:pStyle w:val="Compact"/>
              <w:jc w:val="left"/>
            </w:pPr>
            <w:r>
              <w:t xml:space="preserve">Lauren Pham</w:t>
            </w:r>
          </w:p>
        </w:tc>
        <w:tc>
          <w:p>
            <w:pPr>
              <w:pStyle w:val="Compact"/>
              <w:jc w:val="left"/>
            </w:pPr>
            <w:r>
              <w:t xml:space="preserve">CISO + GC joint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</w:tr>
    </w:tbl>
    <w:p>
      <w:pPr>
        <w:pStyle w:val="Heading3"/>
      </w:pPr>
      <w:bookmarkStart w:id="33" w:name="Xffdb6aa847305990839794080761be69594a56f"/>
      <w:r>
        <w:t xml:space="preserve">7.2 Pandemic and workforce-availability scenarios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The Company operated successfully fully remote during 2020–2022. The current operating model assumes that a pandemic-style remote-only mandate would be operationally absorbable.</w:t>
      </w:r>
    </w:p>
    <w:p>
      <w:pPr>
        <w:numPr>
          <w:ilvl w:val="0"/>
          <w:numId w:val="1005"/>
        </w:numPr>
        <w:pStyle w:val="Compact"/>
      </w:pPr>
      <w:r>
        <w:t xml:space="preserve">Critical-role minimums in BIA-2025-12 §6 (1 IC, 2 engineering on-call, 1 comms lead, 1 GC) are achievable with sustained absences up to ~30% workforce reduction.</w:t>
      </w:r>
    </w:p>
    <w:p>
      <w:pPr>
        <w:numPr>
          <w:ilvl w:val="0"/>
          <w:numId w:val="1005"/>
        </w:numPr>
        <w:pStyle w:val="Compact"/>
      </w:pPr>
      <w:r>
        <w:t xml:space="preserve">Workforce reduction beyond 50% would require Board notification and prioritization triage; CCM clinical advisors are the most critical clinically licensed staff and their backups are documented in a clinical-operations playbook (CLN-PLAYBOOK-01).</w:t>
      </w:r>
    </w:p>
    <w:p>
      <w:pPr>
        <w:pStyle w:val="Heading2"/>
      </w:pPr>
      <w:bookmarkStart w:id="34" w:name="X51d9a2d33603ae377f38fec13d130ae16eb1b88"/>
      <w:r>
        <w:t xml:space="preserve">8. Customer Continuity Expectations</w:t>
      </w:r>
      <w:bookmarkEnd w:id="34"/>
    </w:p>
    <w:p>
      <w:pPr>
        <w:pStyle w:val="Heading3"/>
      </w:pPr>
      <w:bookmarkStart w:id="35" w:name="X75719d9e6f74c75629f8c1ff05f2fca69a8752f"/>
      <w:r>
        <w:t xml:space="preserve">8.1 During a continuity event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Customers receive proactive communication via the TSC customer portal advisory and emailed letter to security and legal contacts.</w:t>
      </w:r>
    </w:p>
    <w:p>
      <w:pPr>
        <w:numPr>
          <w:ilvl w:val="0"/>
          <w:numId w:val="1006"/>
        </w:numPr>
        <w:pStyle w:val="Compact"/>
      </w:pPr>
      <w:r>
        <w:t xml:space="preserve">Customer Success Managers are the primary relationship channel and are briefed by VP CS at activation and at every status checkpoint.</w:t>
      </w:r>
    </w:p>
    <w:p>
      <w:pPr>
        <w:numPr>
          <w:ilvl w:val="0"/>
          <w:numId w:val="1006"/>
        </w:numPr>
        <w:pStyle w:val="Compact"/>
      </w:pPr>
      <w:r>
        <w:t xml:space="preserve">Customers under contractual MTPD commitments (none currently &lt;24h on the business-continuity dimension; this differs from technical RTOs which are tighter) are tracked in a customer-impact roster maintained in Salesforce.</w:t>
      </w:r>
    </w:p>
    <w:p>
      <w:pPr>
        <w:pStyle w:val="Heading3"/>
      </w:pPr>
      <w:bookmarkStart w:id="36" w:name="X834a844f73db8485f4d9e04e7f13db60d14dc7b"/>
      <w:r>
        <w:t xml:space="preserve">8.2 Customer-side continuity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Customers are expected under their BAA to maintain their own contingency procedures for clinical workflows when MCT is unavailable. MeridianCare is a coordination layer; customers retain longitudinal medical records in their EHRs.</w:t>
      </w:r>
    </w:p>
    <w:p>
      <w:pPr>
        <w:numPr>
          <w:ilvl w:val="0"/>
          <w:numId w:val="1007"/>
        </w:numPr>
        <w:pStyle w:val="Compact"/>
      </w:pPr>
      <w:r>
        <w:t xml:space="preserve">The customer onboarding playbook (CS-ONB-01) covers clinical workflow fallback procedures (paper hand-off forms; EHR-direct workflows) for use during platform unavailability.</w:t>
      </w:r>
    </w:p>
    <w:p>
      <w:pPr>
        <w:pStyle w:val="Heading2"/>
      </w:pPr>
      <w:bookmarkStart w:id="37" w:name="X6384fc6b094cd9b4e57371f67e6e00577cd02c5"/>
      <w:r>
        <w:t xml:space="preserve">9. Supplier Continuity</w:t>
      </w:r>
      <w:bookmarkEnd w:id="37"/>
    </w:p>
    <w:p>
      <w:pPr>
        <w:pStyle w:val="Heading3"/>
      </w:pPr>
      <w:bookmarkStart w:id="38" w:name="X46dd237230ef1ada4aa085a8746cf92140bda88"/>
      <w:r>
        <w:t xml:space="preserve">9.1 Critical suppliers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Continuity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(us-east-1 primary; us-west-2 cross-region)</w:t>
            </w:r>
          </w:p>
        </w:tc>
        <w:tc>
          <w:p>
            <w:pPr>
              <w:pStyle w:val="Compact"/>
              <w:jc w:val="left"/>
            </w:pPr>
            <w:r>
              <w:t xml:space="preserve">Compute, storage, network, identity (IAM), database (Aurora, S3, EKS)</w:t>
            </w:r>
          </w:p>
        </w:tc>
        <w:tc>
          <w:p>
            <w:pPr>
              <w:pStyle w:val="Compact"/>
              <w:jc w:val="left"/>
            </w:pPr>
            <w:r>
              <w:t xml:space="preserve">Cross-region failover (PLN-DRP-01); AWS supports multi-region by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Okta</w:t>
            </w:r>
          </w:p>
        </w:tc>
        <w:tc>
          <w:p>
            <w:pPr>
              <w:pStyle w:val="Compact"/>
              <w:jc w:val="left"/>
            </w:pPr>
            <w:r>
              <w:t xml:space="preserve">Workforce identity, SSO, MFA</w:t>
            </w:r>
          </w:p>
        </w:tc>
        <w:tc>
          <w:p>
            <w:pPr>
              <w:pStyle w:val="Compact"/>
              <w:jc w:val="left"/>
            </w:pPr>
            <w:r>
              <w:t xml:space="preserve">Okta is multi-region by Okta's own architecture; MCT cannot independently failover.</w:t>
            </w:r>
            <w:r>
              <w:t xml:space="preserve"> </w:t>
            </w:r>
            <w:r>
              <w:rPr>
                <w:b/>
              </w:rPr>
              <w:t xml:space="preserve">Single-supplier dependency</w:t>
            </w:r>
            <w:r>
              <w:t xml:space="preserve"> </w:t>
            </w:r>
            <w:r>
              <w:t xml:space="preserve">— accepted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p>
            <w:pPr>
              <w:pStyle w:val="Compact"/>
              <w:jc w:val="left"/>
            </w:pPr>
            <w:r>
              <w:t xml:space="preserve">Population Insights analytics warehouse</w:t>
            </w:r>
          </w:p>
        </w:tc>
        <w:tc>
          <w:p>
            <w:pPr>
              <w:pStyle w:val="Compact"/>
              <w:jc w:val="left"/>
            </w:pPr>
            <w:r>
              <w:t xml:space="preserve">Account replication to a secondary region planned (R6); current posture is async replication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Datadog</w:t>
            </w:r>
          </w:p>
        </w:tc>
        <w:tc>
          <w:p>
            <w:pPr>
              <w:pStyle w:val="Compact"/>
              <w:jc w:val="left"/>
            </w:pPr>
            <w:r>
              <w:t xml:space="preserve">SIEM,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Multi-region by Datadog's architecture; MCT cannot independently failover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CrowdStrike</w:t>
            </w:r>
          </w:p>
        </w:tc>
        <w:tc>
          <w:p>
            <w:pPr>
              <w:pStyle w:val="Compact"/>
              <w:jc w:val="left"/>
            </w:pPr>
            <w:r>
              <w:t xml:space="preserve">EDR</w:t>
            </w:r>
          </w:p>
        </w:tc>
        <w:tc>
          <w:p>
            <w:pPr>
              <w:pStyle w:val="Compact"/>
              <w:jc w:val="left"/>
            </w:pPr>
            <w:r>
              <w:t xml:space="preserve">Multi-region by CrowdStrike's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365</w:t>
            </w:r>
          </w:p>
        </w:tc>
        <w:tc>
          <w:p>
            <w:pPr>
              <w:pStyle w:val="Compact"/>
              <w:jc w:val="left"/>
            </w:pPr>
            <w:r>
              <w:t xml:space="preserve">Email, productivity</w:t>
            </w:r>
          </w:p>
        </w:tc>
        <w:tc>
          <w:p>
            <w:pPr>
              <w:pStyle w:val="Compact"/>
              <w:jc w:val="left"/>
            </w:pPr>
            <w:r>
              <w:t xml:space="preserve">Multi-region by Microsoft's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Healthcare (clearinghouse — pilot only)</w:t>
            </w:r>
          </w:p>
        </w:tc>
        <w:tc>
          <w:p>
            <w:pPr>
              <w:pStyle w:val="Compact"/>
              <w:jc w:val="left"/>
            </w:pPr>
            <w:r>
              <w:t xml:space="preserve">Claims clearinghouse</w:t>
            </w:r>
          </w:p>
        </w:tc>
        <w:tc>
          <w:p>
            <w:pPr>
              <w:pStyle w:val="Compact"/>
              <w:jc w:val="left"/>
            </w:pPr>
            <w:r>
              <w:t xml:space="preserve">Backup path Waystar in FY26 roadmap (post Feb–Mar 2024 ALPHV event)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Surescripts</w:t>
            </w:r>
          </w:p>
        </w:tc>
        <w:tc>
          <w:p>
            <w:pPr>
              <w:pStyle w:val="Compact"/>
              <w:jc w:val="left"/>
            </w:pPr>
            <w:r>
              <w:t xml:space="preserve">Medication history</w:t>
            </w:r>
          </w:p>
        </w:tc>
        <w:tc>
          <w:p>
            <w:pPr>
              <w:pStyle w:val="Compact"/>
              <w:jc w:val="left"/>
            </w:pPr>
            <w:r>
              <w:t xml:space="preserve">Workflow degrades gracefully without medication history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Trust</w:t>
            </w:r>
          </w:p>
        </w:tc>
        <w:tc>
          <w:p>
            <w:pPr>
              <w:pStyle w:val="Compact"/>
              <w:jc w:val="left"/>
            </w:pPr>
            <w:r>
              <w:t xml:space="preserve">HIPAA-compliant Direct Secure Messaging</w:t>
            </w:r>
          </w:p>
        </w:tc>
        <w:tc>
          <w:p>
            <w:pPr>
              <w:pStyle w:val="Compact"/>
              <w:jc w:val="left"/>
            </w:pPr>
            <w:r>
              <w:t xml:space="preserve">Backup is paper / fax fallback</w:t>
            </w:r>
          </w:p>
        </w:tc>
      </w:tr>
    </w:tbl>
    <w:p>
      <w:pPr>
        <w:pStyle w:val="Heading3"/>
      </w:pPr>
      <w:bookmarkStart w:id="39" w:name="X56b5647374a5d022a84cb5a78a99e67f88cc278"/>
      <w:r>
        <w:t xml:space="preserve">9.2 Supplier loss scenarios</w:t>
      </w:r>
      <w:bookmarkEnd w:id="39"/>
    </w:p>
    <w:p>
      <w:pPr>
        <w:numPr>
          <w:ilvl w:val="0"/>
          <w:numId w:val="1008"/>
        </w:numPr>
        <w:pStyle w:val="Compact"/>
      </w:pPr>
      <w:r>
        <w:t xml:space="preserve">Sustained AWS us-east-1 loss: failover to us-west-2 per PLN-DRP-01. P1 RTO 4h is the commitment; current capability is partially tested (April 2025 test achieved 5h12m end-to-end for ToC service; the rest of the platform has not been failover-tested).</w:t>
      </w:r>
    </w:p>
    <w:p>
      <w:pPr>
        <w:numPr>
          <w:ilvl w:val="0"/>
          <w:numId w:val="1008"/>
        </w:numPr>
        <w:pStyle w:val="Compact"/>
      </w:pPr>
      <w:r>
        <w:t xml:space="preserve">Sustained Okta loss: workforce login is broken. There is no in-platform fallback. MCT's contingency is to wait out the Okta event with elevated communications cadence; this scenario is rare historically (Okta SLA 99.99%) but is an accepted concentrated dependency.</w:t>
      </w:r>
    </w:p>
    <w:p>
      <w:pPr>
        <w:numPr>
          <w:ilvl w:val="0"/>
          <w:numId w:val="1008"/>
        </w:numPr>
        <w:pStyle w:val="Compact"/>
      </w:pPr>
      <w:r>
        <w:t xml:space="preserve">Sustained Snowflake loss: P2 service Population Insights becomes unavailable. P1 services not affected. Customer impact is analytical not operational.</w:t>
      </w:r>
    </w:p>
    <w:p>
      <w:pPr>
        <w:numPr>
          <w:ilvl w:val="0"/>
          <w:numId w:val="1008"/>
        </w:numPr>
        <w:pStyle w:val="Compact"/>
      </w:pPr>
      <w:r>
        <w:t xml:space="preserve">Loss of Change Healthcare: pilot only currently; backup path Waystar to be in production FY26.</w:t>
      </w:r>
    </w:p>
    <w:p>
      <w:pPr>
        <w:pStyle w:val="FirstParagraph"/>
      </w:pPr>
      <w:r>
        <w:t xml:space="preserve">The Third-Party Risk Management Policy (POL-TPRM-01) governs supplier reassessment; the Supplier Continuous Monitoring expansion (FY26 Priority 7) addresses the supplier-monitoring gap captured as risk register entry R1.</w:t>
      </w:r>
    </w:p>
    <w:p>
      <w:pPr>
        <w:pStyle w:val="Heading2"/>
      </w:pPr>
      <w:bookmarkStart w:id="40" w:name="X30b2413e2b93ab05dc245e77391ed737296b3ae"/>
      <w:r>
        <w:t xml:space="preserve">10. Communications</w:t>
      </w:r>
      <w:bookmarkEnd w:id="40"/>
    </w:p>
    <w:p>
      <w:pPr>
        <w:pStyle w:val="Heading3"/>
      </w:pPr>
      <w:bookmarkStart w:id="41" w:name="Xb759696400a1fdc4f6dbc1d7136672847612cf1"/>
      <w:r>
        <w:t xml:space="preserve">10.1 Internal</w:t>
      </w:r>
      <w:bookmarkEnd w:id="41"/>
    </w:p>
    <w:p>
      <w:pPr>
        <w:numPr>
          <w:ilvl w:val="0"/>
          <w:numId w:val="1009"/>
        </w:numPr>
        <w:pStyle w:val="Compact"/>
      </w:pPr>
      <w:r>
        <w:t xml:space="preserve">Slack</w:t>
      </w:r>
      <w:r>
        <w:t xml:space="preserve"> </w:t>
      </w:r>
      <w:r>
        <w:rPr>
          <w:rStyle w:val="VerbatimChar"/>
        </w:rPr>
        <w:t xml:space="preserve">#bcp-activation</w:t>
      </w:r>
      <w:r>
        <w:t xml:space="preserve"> </w:t>
      </w:r>
      <w:r>
        <w:t xml:space="preserve">(private to leadership + GRC) — primary command channel.</w:t>
      </w:r>
    </w:p>
    <w:p>
      <w:pPr>
        <w:numPr>
          <w:ilvl w:val="0"/>
          <w:numId w:val="1009"/>
        </w:numPr>
        <w:pStyle w:val="Compact"/>
      </w:pPr>
      <w:r>
        <w:t xml:space="preserve">Email distribution list</w:t>
      </w:r>
      <w:r>
        <w:t xml:space="preserve"> </w:t>
      </w:r>
      <w:r>
        <w:rPr>
          <w:rStyle w:val="VerbatimChar"/>
        </w:rPr>
        <w:t xml:space="preserve">bcp-leadership@meridiancare.com</w:t>
      </w:r>
      <w:r>
        <w:t xml:space="preserve"> </w:t>
      </w:r>
      <w:r>
        <w:t xml:space="preserve">— leadership backup.</w:t>
      </w:r>
    </w:p>
    <w:p>
      <w:pPr>
        <w:numPr>
          <w:ilvl w:val="0"/>
          <w:numId w:val="1009"/>
        </w:numPr>
        <w:pStyle w:val="Compact"/>
      </w:pPr>
      <w:r>
        <w:t xml:space="preserve">Workday emergency check-in for personnel accountability.</w:t>
      </w:r>
    </w:p>
    <w:p>
      <w:pPr>
        <w:numPr>
          <w:ilvl w:val="0"/>
          <w:numId w:val="1009"/>
        </w:numPr>
        <w:pStyle w:val="Compact"/>
      </w:pPr>
      <w:r>
        <w:t xml:space="preserve">Zoom war room — standing room ID published in the BCP Quick-Reference card.</w:t>
      </w:r>
    </w:p>
    <w:p>
      <w:pPr>
        <w:pStyle w:val="Heading3"/>
      </w:pPr>
      <w:bookmarkStart w:id="42" w:name="X41f6b23e3d47710d0e955d7aa576240e824a769"/>
      <w:r>
        <w:t xml:space="preserve">10.2 External</w:t>
      </w:r>
      <w:bookmarkEnd w:id="42"/>
    </w:p>
    <w:p>
      <w:pPr>
        <w:numPr>
          <w:ilvl w:val="0"/>
          <w:numId w:val="1010"/>
        </w:numPr>
        <w:pStyle w:val="Compact"/>
      </w:pPr>
      <w:r>
        <w:t xml:space="preserve">Customer TSC portal advisory (cloud-hosted, multi-region by provider).</w:t>
      </w:r>
    </w:p>
    <w:p>
      <w:pPr>
        <w:numPr>
          <w:ilvl w:val="0"/>
          <w:numId w:val="1010"/>
        </w:numPr>
        <w:pStyle w:val="Compact"/>
      </w:pPr>
      <w:r>
        <w:t xml:space="preserve">Status page (</w:t>
      </w:r>
      <w:r>
        <w:rPr>
          <w:rStyle w:val="VerbatimChar"/>
        </w:rPr>
        <w:t xml:space="preserve">status.meridiancare.com</w:t>
      </w:r>
      <w:r>
        <w:t xml:space="preserve">) — Statuspage.io, multi-region.</w:t>
      </w:r>
    </w:p>
    <w:p>
      <w:pPr>
        <w:numPr>
          <w:ilvl w:val="0"/>
          <w:numId w:val="1010"/>
        </w:numPr>
        <w:pStyle w:val="Compact"/>
      </w:pPr>
      <w:r>
        <w:t xml:space="preserve">Emailed letter to customer security and legal contacts (template in playbook).</w:t>
      </w:r>
    </w:p>
    <w:p>
      <w:pPr>
        <w:numPr>
          <w:ilvl w:val="0"/>
          <w:numId w:val="1010"/>
        </w:numPr>
        <w:pStyle w:val="Compact"/>
      </w:pPr>
      <w:r>
        <w:t xml:space="preserve">Beazley insurer contact within 72h if cyber-driven.</w:t>
      </w:r>
    </w:p>
    <w:p>
      <w:pPr>
        <w:numPr>
          <w:ilvl w:val="0"/>
          <w:numId w:val="1010"/>
        </w:numPr>
        <w:pStyle w:val="Compact"/>
      </w:pPr>
      <w:r>
        <w:t xml:space="preserve">Regulatory notification per PLN-IR-01 §8 if applicable.</w:t>
      </w:r>
    </w:p>
    <w:p>
      <w:pPr>
        <w:pStyle w:val="Heading2"/>
      </w:pPr>
      <w:bookmarkStart w:id="43" w:name="Xab708decfb5059dfd1682098f7afd72c8a0ab21"/>
      <w:r>
        <w:t xml:space="preserve">11. Honest Gap Acknowledgment</w:t>
      </w:r>
      <w:bookmarkEnd w:id="43"/>
    </w:p>
    <w:p>
      <w:pPr>
        <w:pStyle w:val="FirstParagraph"/>
      </w:pPr>
      <w:r>
        <w:t xml:space="preserve">This BCP is operative and is exercised, but the Company acknowledges the following gaps relative to a fully mature continuity program:</w:t>
      </w:r>
    </w:p>
    <w:p>
      <w:pPr>
        <w:numPr>
          <w:ilvl w:val="0"/>
          <w:numId w:val="1011"/>
        </w:numPr>
      </w:pPr>
      <w:r>
        <w:rPr>
          <w:b/>
        </w:rPr>
        <w:t xml:space="preserve">Continuity exercise cadence is annual.</w:t>
      </w:r>
      <w:r>
        <w:t xml:space="preserve"> </w:t>
      </w:r>
      <w:r>
        <w:t xml:space="preserve">A single full-site-loss continuity exercise is conducted per year. Discrete tabletop scenarios are exercised more frequently (the IR program runs quarterly tabletops per PLN-IR-01 §6.1 — Q1 ransomware, Q2 internal-account compromise, Q3 third-party vendor, Q4 Snowflake credential), but those tabletops focus on incident response, not on full business continuity.</w:t>
      </w:r>
      <w:r>
        <w:t xml:space="preserve"> </w:t>
      </w:r>
      <w:r>
        <w:rPr>
          <w:b/>
        </w:rPr>
        <w:t xml:space="preserve">The continuity-specific exercise dimension is below the cadence the Steering Committee would like and is on the FY26 roadmap to expand.</w:t>
      </w:r>
    </w:p>
    <w:p>
      <w:pPr>
        <w:numPr>
          <w:ilvl w:val="0"/>
          <w:numId w:val="1011"/>
        </w:numPr>
      </w:pPr>
      <w:r>
        <w:rPr>
          <w:b/>
        </w:rPr>
        <w:t xml:space="preserve">GC succession.</w:t>
      </w:r>
      <w:r>
        <w:t xml:space="preserve"> </w:t>
      </w:r>
      <w:r>
        <w:t xml:space="preserve">Marcus Holbrook is the designated HIPAA Privacy Officer and breach-notification authority; the deputy GC role is currently filled by outside counsel only. A staff deputy is a Q3 2026 hiring priority.</w:t>
      </w:r>
    </w:p>
    <w:p>
      <w:pPr>
        <w:numPr>
          <w:ilvl w:val="0"/>
          <w:numId w:val="1011"/>
        </w:numPr>
      </w:pPr>
      <w:r>
        <w:rPr>
          <w:b/>
        </w:rPr>
        <w:t xml:space="preserve">Supplier continuous monitoring</w:t>
      </w:r>
      <w:r>
        <w:t xml:space="preserve"> </w:t>
      </w:r>
      <w:r>
        <w:t xml:space="preserve">beyond AWS, Okta, and Snowflake is not yet in place; this is captured as risk register entry R1 and is FY26 Priority 7.</w:t>
      </w:r>
    </w:p>
    <w:p>
      <w:pPr>
        <w:numPr>
          <w:ilvl w:val="0"/>
          <w:numId w:val="1011"/>
        </w:numPr>
      </w:pPr>
      <w:r>
        <w:rPr>
          <w:b/>
        </w:rPr>
        <w:t xml:space="preserve">Recovery testing depth</w:t>
      </w:r>
      <w:r>
        <w:t xml:space="preserve"> </w:t>
      </w:r>
      <w:r>
        <w:t xml:space="preserve">for the platform itself is limited to a single full-failover test per year, scope-limited to one critical service. This is captured as risk register entry R2 and is the principal weakness in the technical recovery program (PLN-DRP-01 §11).</w:t>
      </w:r>
    </w:p>
    <w:p>
      <w:pPr>
        <w:pStyle w:val="FirstParagraph"/>
      </w:pPr>
      <w:r>
        <w:t xml:space="preserve">These gaps are deliberately documented to support honest assessment rather than claim a maturity the Company has not yet achieved.</w:t>
      </w:r>
    </w:p>
    <w:p>
      <w:pPr>
        <w:pStyle w:val="Heading2"/>
      </w:pPr>
      <w:bookmarkStart w:id="44" w:name="X01ad12ce1973210dd0100e0a003db24a5befc7b"/>
      <w:r>
        <w:t xml:space="preserve">12. Plan Maintenance</w:t>
      </w:r>
      <w:bookmarkEnd w:id="44"/>
    </w:p>
    <w:p>
      <w:pPr>
        <w:pStyle w:val="FirstParagraph"/>
      </w:pPr>
      <w:r>
        <w:t xml:space="preserve">This Plan is reviewed at least annually and after any continuity-event activation. Reviews are coordinated by the GRC Manager and approved by the CEO, CTO, and CISO.</w:t>
      </w:r>
    </w:p>
    <w:p>
      <w:pPr>
        <w:pStyle w:val="Heading2"/>
      </w:pPr>
      <w:bookmarkStart w:id="45" w:name="Xbab819adc757afb6f3e20beece027d71a7fab58"/>
      <w:r>
        <w:t xml:space="preserve">13. Linked Documents</w:t>
      </w:r>
      <w:bookmarkEnd w:id="45"/>
    </w:p>
    <w:p>
      <w:pPr>
        <w:numPr>
          <w:ilvl w:val="0"/>
          <w:numId w:val="1012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12"/>
        </w:numPr>
        <w:pStyle w:val="Compact"/>
      </w:pPr>
      <w:r>
        <w:t xml:space="preserve">BIA-2025-12 Business Impact Analysis</w:t>
      </w:r>
    </w:p>
    <w:p>
      <w:pPr>
        <w:numPr>
          <w:ilvl w:val="0"/>
          <w:numId w:val="1012"/>
        </w:numPr>
        <w:pStyle w:val="Compact"/>
      </w:pPr>
      <w:r>
        <w:t xml:space="preserve">PLN-IR-01 Incident Response Plan</w:t>
      </w:r>
    </w:p>
    <w:p>
      <w:pPr>
        <w:numPr>
          <w:ilvl w:val="0"/>
          <w:numId w:val="1012"/>
        </w:numPr>
        <w:pStyle w:val="Compact"/>
      </w:pPr>
      <w:r>
        <w:t xml:space="preserve">PLN-DRP-01 Disaster Recovery Plan</w:t>
      </w:r>
    </w:p>
    <w:p>
      <w:pPr>
        <w:numPr>
          <w:ilvl w:val="0"/>
          <w:numId w:val="1012"/>
        </w:numPr>
        <w:pStyle w:val="Compact"/>
      </w:pPr>
      <w:r>
        <w:t xml:space="preserve">POL-TPRM-01 Third-Party Risk Management Policy</w:t>
      </w:r>
    </w:p>
    <w:p>
      <w:pPr>
        <w:numPr>
          <w:ilvl w:val="0"/>
          <w:numId w:val="1012"/>
        </w:numPr>
        <w:pStyle w:val="Compact"/>
      </w:pPr>
      <w:r>
        <w:t xml:space="preserve">RPT-Recovery-Test-Results-2025</w:t>
      </w:r>
    </w:p>
    <w:p>
      <w:pPr>
        <w:numPr>
          <w:ilvl w:val="0"/>
          <w:numId w:val="1012"/>
        </w:numPr>
        <w:pStyle w:val="Compact"/>
      </w:pPr>
      <w:r>
        <w:t xml:space="preserve">RISK-Cyber-Risk-Register (R1, R2, R6)</w:t>
      </w:r>
    </w:p>
    <w:p>
      <w:pPr>
        <w:pStyle w:val="Heading2"/>
      </w:pPr>
      <w:bookmarkStart w:id="46" w:name="X3339f303e2cdc1a859cde4d8c34dfea21b744c5"/>
      <w:r>
        <w:t xml:space="preserve">14. Document Control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2022-09</w:t>
            </w:r>
          </w:p>
        </w:tc>
        <w:tc>
          <w:p>
            <w:pPr>
              <w:pStyle w:val="Compact"/>
              <w:jc w:val="left"/>
            </w:pPr>
            <w:r>
              <w:t xml:space="preserve">(predecessor)</w:t>
            </w:r>
          </w:p>
        </w:tc>
        <w:tc>
          <w:p>
            <w:pPr>
              <w:pStyle w:val="Compact"/>
              <w:jc w:val="left"/>
            </w:pPr>
            <w:r>
              <w:t xml:space="preserve">Original BCP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2024-03</w:t>
            </w:r>
          </w:p>
        </w:tc>
        <w:tc>
          <w:p>
            <w:pPr>
              <w:pStyle w:val="Compact"/>
              <w:jc w:val="left"/>
            </w:pPr>
            <w: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t xml:space="preserve">Post-Pebble Phish refresh; added IR linkage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2024-12</w:t>
            </w:r>
          </w:p>
        </w:tc>
        <w:tc>
          <w:p>
            <w:pPr>
              <w:pStyle w:val="Compact"/>
              <w:jc w:val="left"/>
            </w:pPr>
            <w: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t xml:space="preserve">Aligned to BIA v3.0 service tiering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added supplier continuous-monitoring gap acknowledgment; clarified continuity-vs-IR exercise cadence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2026-04-30T19:08:44Z</dcterms:created>
  <dcterms:modified xsi:type="dcterms:W3CDTF">2026-04-30T19:08:44Z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