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isaster-recovery-plan"/>
      <w:r>
        <w:t xml:space="preserve">Disaster Recovery Plan</w:t>
      </w:r>
      <w:bookmarkEnd w:id="20"/>
    </w:p>
    <w:p>
      <w:pPr>
        <w:pStyle w:val="FirstParagraph"/>
      </w:pPr>
      <w:r>
        <w:rPr>
          <w:b/>
        </w:rPr>
        <w:t xml:space="preserve">Document ID:</w:t>
      </w:r>
      <w:r>
        <w:t xml:space="preserve"> </w:t>
      </w:r>
      <w:r>
        <w:t xml:space="preserve">PLN-DRP-01</w:t>
      </w:r>
      <w:r>
        <w:t xml:space="preserve"> </w:t>
      </w:r>
      <w:r>
        <w:rPr>
          <w:b/>
        </w:rPr>
        <w:t xml:space="preserve">Version:</w:t>
      </w:r>
      <w:r>
        <w:t xml:space="preserve"> </w:t>
      </w:r>
      <w:r>
        <w:t xml:space="preserve">4.0</w:t>
      </w:r>
      <w:r>
        <w:t xml:space="preserve"> </w:t>
      </w:r>
      <w:r>
        <w:rPr>
          <w:b/>
        </w:rPr>
        <w:t xml:space="preserve">Effective date:</w:t>
      </w:r>
      <w:r>
        <w:t xml:space="preserve"> </w:t>
      </w:r>
      <w:r>
        <w:t xml:space="preserve">January 1, 2026</w:t>
      </w:r>
      <w:r>
        <w:t xml:space="preserve"> </w:t>
      </w:r>
      <w:r>
        <w:rPr>
          <w:b/>
        </w:rPr>
        <w:t xml:space="preserve">Last reviewed:</w:t>
      </w:r>
      <w:r>
        <w:t xml:space="preserve"> </w:t>
      </w:r>
      <w:r>
        <w:t xml:space="preserve">December 12, 2025 (annual review)</w:t>
      </w:r>
      <w:r>
        <w:t xml:space="preserve"> </w:t>
      </w:r>
      <w:r>
        <w:rPr>
          <w:b/>
        </w:rPr>
        <w:t xml:space="preserve">Next review:</w:t>
      </w:r>
      <w:r>
        <w:t xml:space="preserve"> </w:t>
      </w:r>
      <w:r>
        <w:t xml:space="preserve">December 2026</w:t>
      </w:r>
      <w:r>
        <w:t xml:space="preserve"> </w:t>
      </w:r>
      <w:r>
        <w:rPr>
          <w:b/>
        </w:rPr>
        <w:t xml:space="preserve">Approver:</w:t>
      </w:r>
      <w:r>
        <w:t xml:space="preserve"> </w:t>
      </w:r>
      <w:r>
        <w:t xml:space="preserve">David Mehta, CTO; Sarah Yoon, CISO</w:t>
      </w:r>
      <w:r>
        <w:t xml:space="preserve"> </w:t>
      </w:r>
      <w:r>
        <w:rPr>
          <w:b/>
        </w:rPr>
        <w:t xml:space="preserve">Owner:</w:t>
      </w:r>
      <w:r>
        <w:t xml:space="preserve"> </w:t>
      </w:r>
      <w:r>
        <w:t xml:space="preserve">Tomás Reyes, VP Engineering (technical recovery); Marcus Tan, Security Engineer (D&amp;R) (security-driven recovery scenarios); GRC liaison: Jordan Park</w:t>
      </w:r>
      <w:r>
        <w:t xml:space="preserve"> </w:t>
      </w:r>
      <w:r>
        <w:rPr>
          <w:b/>
        </w:rPr>
        <w:t xml:space="preserve">Distribution:</w:t>
      </w:r>
      <w:r>
        <w:t xml:space="preserve"> </w:t>
      </w:r>
      <w:r>
        <w:t xml:space="preserve">Engineering, SRE, Security, GRC; published on internal wiki; redacted version available to customers under NDA on request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e656c7b6450ec476f453091ff6f524ec7bd654f"/>
      <w:r>
        <w:t xml:space="preserve">1. Purpose</w:t>
      </w:r>
      <w:bookmarkEnd w:id="21"/>
    </w:p>
    <w:p>
      <w:pPr>
        <w:pStyle w:val="FirstParagraph"/>
      </w:pPr>
      <w:r>
        <w:t xml:space="preserve">This Disaster Recovery Plan ("DRP" or "Plan") establishes the technical procedures, responsibilities, and recovery objectives by which the MeridianCare platform is restored after a disruptive event affecting its underlying infrastructure. It is the technical companion to the Business Continuity Plan (PLN-BCP-01) and the operational expression of POL-001 §3.13.</w:t>
      </w:r>
    </w:p>
    <w:p>
      <w:pPr>
        <w:pStyle w:val="BodyText"/>
      </w:pPr>
      <w:r>
        <w:t xml:space="preserve">This Plan honors the service tiering and target RTO/RPO commitments established in BIA-2025-12 §3 and the Company Backgrounder §6.5.</w:t>
      </w:r>
    </w:p>
    <w:p>
      <w:pPr>
        <w:pStyle w:val="Heading2"/>
      </w:pPr>
      <w:bookmarkStart w:id="22" w:name="Xb66d8751654b4b3bfdfa8df98730d37eb4be826"/>
      <w:r>
        <w:t xml:space="preserve">2. Scope</w:t>
      </w:r>
      <w:bookmarkEnd w:id="22"/>
    </w:p>
    <w:p>
      <w:pPr>
        <w:pStyle w:val="FirstParagraph"/>
      </w:pPr>
      <w:r>
        <w:t xml:space="preserve">This Plan applies to:</w:t>
      </w:r>
    </w:p>
    <w:p>
      <w:pPr>
        <w:numPr>
          <w:ilvl w:val="0"/>
          <w:numId w:val="1001"/>
        </w:numPr>
        <w:pStyle w:val="Compact"/>
      </w:pPr>
      <w:r>
        <w:t xml:space="preserve">The production MeridianCare platform in AWS us-east-1 (primary) and us-west-2 (warm DR).</w:t>
      </w:r>
    </w:p>
    <w:p>
      <w:pPr>
        <w:numPr>
          <w:ilvl w:val="0"/>
          <w:numId w:val="1001"/>
        </w:numPr>
        <w:pStyle w:val="Compact"/>
      </w:pPr>
      <w:r>
        <w:t xml:space="preserve">Aurora PostgreSQL transactional databases.</w:t>
      </w:r>
    </w:p>
    <w:p>
      <w:pPr>
        <w:numPr>
          <w:ilvl w:val="0"/>
          <w:numId w:val="1001"/>
        </w:numPr>
        <w:pStyle w:val="Compact"/>
      </w:pPr>
      <w:r>
        <w:t xml:space="preserve">Amazon S3 (KMS-encrypted) document and attachment storage.</w:t>
      </w:r>
    </w:p>
    <w:p>
      <w:pPr>
        <w:numPr>
          <w:ilvl w:val="0"/>
          <w:numId w:val="1001"/>
        </w:numPr>
        <w:pStyle w:val="Compact"/>
      </w:pPr>
      <w:r>
        <w:t xml:space="preserve">Amazon EKS workloads.</w:t>
      </w:r>
    </w:p>
    <w:p>
      <w:pPr>
        <w:numPr>
          <w:ilvl w:val="0"/>
          <w:numId w:val="1001"/>
        </w:numPr>
        <w:pStyle w:val="Compact"/>
      </w:pPr>
      <w:r>
        <w:t xml:space="preserve">Snowflake analytical workloads (Population Insights — P2).</w:t>
      </w:r>
    </w:p>
    <w:p>
      <w:pPr>
        <w:numPr>
          <w:ilvl w:val="0"/>
          <w:numId w:val="1001"/>
        </w:numPr>
        <w:pStyle w:val="Compact"/>
      </w:pPr>
      <w:r>
        <w:t xml:space="preserve">Route 53 DNS and AWS CloudFront / WAF v2.</w:t>
      </w:r>
    </w:p>
    <w:p>
      <w:pPr>
        <w:numPr>
          <w:ilvl w:val="0"/>
          <w:numId w:val="1001"/>
        </w:numPr>
        <w:pStyle w:val="Compact"/>
      </w:pPr>
      <w:r>
        <w:t xml:space="preserve">Okta and Auth0 (workforce and patient-facing identity).</w:t>
      </w:r>
    </w:p>
    <w:p>
      <w:pPr>
        <w:numPr>
          <w:ilvl w:val="0"/>
          <w:numId w:val="1001"/>
        </w:numPr>
        <w:pStyle w:val="Compact"/>
      </w:pPr>
      <w:r>
        <w:t xml:space="preserve">Datadog, CrowdStrike (security telemetry — recovery requirements).</w:t>
      </w:r>
    </w:p>
    <w:p>
      <w:pPr>
        <w:pStyle w:val="FirstParagraph"/>
      </w:pPr>
      <w:r>
        <w:rPr>
          <w:b/>
        </w:rPr>
        <w:t xml:space="preserve">Out of scope (for tier-aligned recovery objectives):</w:t>
      </w:r>
      <w:r>
        <w:t xml:space="preserve"> </w:t>
      </w:r>
      <w:r>
        <w:t xml:space="preserve">the legacy on-premises ETL cluster at the Raleigh HQ, which is scheduled for decommission in Q4 2026 and operates under a manual restoration regime with extended RTO. The cluster's recovery procedure is documented separately as RUNBOOK-LegacyETL-DR and is not subject to the P1/P2 RTO/RPO commitments below.</w:t>
      </w:r>
    </w:p>
    <w:p>
      <w:pPr>
        <w:pStyle w:val="Heading2"/>
      </w:pPr>
      <w:bookmarkStart w:id="23" w:name="X26b517fc18def4ab44c3145393d82e09f05aa5a"/>
      <w:r>
        <w:t xml:space="preserve">3. Service Tiering and Recovery Objectives</w:t>
      </w:r>
      <w:bookmarkEnd w:id="23"/>
    </w:p>
    <w:p>
      <w:pPr>
        <w:pStyle w:val="FirstParagraph"/>
      </w:pPr>
      <w:r>
        <w:t xml:space="preserve">Inherited from BIA-2025-12 §3 (authoritative).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RTO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RPO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Underpinning architecture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Transitions of Care; Referral Lifecycle Management</w:t>
            </w:r>
          </w:p>
        </w:tc>
        <w:tc>
          <w:p>
            <w:pPr>
              <w:pStyle w:val="Compact"/>
              <w:jc w:val="left"/>
            </w:pPr>
            <w:r>
              <w:t xml:space="preserve">4 hours</w:t>
            </w:r>
          </w:p>
        </w:tc>
        <w:tc>
          <w:p>
            <w:pPr>
              <w:pStyle w:val="Compact"/>
              <w:jc w:val="left"/>
            </w:pPr>
            <w:r>
              <w:t xml:space="preserve">15 minutes</w:t>
            </w:r>
          </w:p>
        </w:tc>
        <w:tc>
          <w:p>
            <w:pPr>
              <w:pStyle w:val="Compact"/>
              <w:jc w:val="left"/>
            </w:pPr>
            <w:r>
              <w:t xml:space="preserve">Aurora PostgreSQL multi-AZ + cross-region read replica in us-west-2; S3 cross-region replication; EKS multi-AZ in us-east-1; warm EKS in us-west-2 with cluster bootstrapping automation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Chronic Care Management; Population Insights</w:t>
            </w:r>
          </w:p>
        </w:tc>
        <w:tc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p>
            <w:pPr>
              <w:pStyle w:val="Compact"/>
              <w:jc w:val="left"/>
            </w:pPr>
            <w:r>
              <w:t xml:space="preserve">4 hours</w:t>
            </w:r>
          </w:p>
        </w:tc>
        <w:tc>
          <w:p>
            <w:pPr>
              <w:pStyle w:val="Compact"/>
              <w:jc w:val="left"/>
            </w:pPr>
            <w:r>
              <w:t xml:space="preserve">Aurora multi-AZ (CCM); Snowflake replication async (Population Insights — warm-DR not pre-provisioned in us-west-2 — see R6)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Internal reporting; corporate IT (Microsoft 365 — provider-resilient); marketing site</w:t>
            </w:r>
          </w:p>
        </w:tc>
        <w:tc>
          <w:p>
            <w:pPr>
              <w:pStyle w:val="Compact"/>
              <w:jc w:val="left"/>
            </w:pPr>
            <w:r>
              <w:t xml:space="preserve">72 hours</w:t>
            </w:r>
          </w:p>
        </w:tc>
        <w:tc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p>
            <w:pPr>
              <w:pStyle w:val="Compact"/>
              <w:jc w:val="left"/>
            </w:pPr>
            <w:r>
              <w:t xml:space="preserve">Best-effort restoration</w:t>
            </w:r>
          </w:p>
        </w:tc>
      </w:tr>
    </w:tbl>
    <w:p>
      <w:pPr>
        <w:pStyle w:val="BodyText"/>
      </w:pPr>
      <w:r>
        <w:rPr>
          <w:b/>
        </w:rPr>
        <w:t xml:space="preserve">Honest acknowledgment of capability vs. target.</w:t>
      </w:r>
      <w:r>
        <w:t xml:space="preserve"> </w:t>
      </w:r>
      <w:r>
        <w:t xml:space="preserve">These targets are documented commitments. Capability today does not fully meet them in all dimensions. Specifically:</w:t>
      </w:r>
    </w:p>
    <w:p>
      <w:pPr>
        <w:numPr>
          <w:ilvl w:val="0"/>
          <w:numId w:val="1002"/>
        </w:numPr>
        <w:pStyle w:val="Compact"/>
      </w:pPr>
      <w:r>
        <w:t xml:space="preserve">Aurora cross-region promotion has been tested to</w:t>
      </w:r>
      <w:r>
        <w:t xml:space="preserve"> </w:t>
      </w:r>
      <w:r>
        <w:rPr>
          <w:b/>
        </w:rPr>
        <w:t xml:space="preserve">3h47m</w:t>
      </w:r>
      <w:r>
        <w:t xml:space="preserve"> </w:t>
      </w:r>
      <w:r>
        <w:t xml:space="preserve">(April 2025 test, single service). The remaining buffer to the 4h target is small.</w:t>
      </w:r>
    </w:p>
    <w:p>
      <w:pPr>
        <w:numPr>
          <w:ilvl w:val="0"/>
          <w:numId w:val="1002"/>
        </w:numPr>
        <w:pStyle w:val="Compact"/>
      </w:pPr>
      <w:r>
        <w:t xml:space="preserve">End-to-end ToC restoration including ingress, EKS, Route 53 cutover was tested to</w:t>
      </w:r>
      <w:r>
        <w:t xml:space="preserve"> </w:t>
      </w:r>
      <w:r>
        <w:rPr>
          <w:b/>
        </w:rPr>
        <w:t xml:space="preserve">5h12m</w:t>
      </w:r>
      <w:r>
        <w:t xml:space="preserve"> </w:t>
      </w:r>
      <w:r>
        <w:t xml:space="preserve">(April 2025) — over the 4h P1 target.</w:t>
      </w:r>
    </w:p>
    <w:p>
      <w:pPr>
        <w:numPr>
          <w:ilvl w:val="0"/>
          <w:numId w:val="1002"/>
        </w:numPr>
        <w:pStyle w:val="Compact"/>
      </w:pPr>
      <w:r>
        <w:t xml:space="preserve">Population Insights warm-DR is async-replicated only; warm-standby compute is not pre-provisioned in us-west-2. This is captured as</w:t>
      </w:r>
      <w:r>
        <w:t xml:space="preserve"> </w:t>
      </w:r>
      <w:r>
        <w:rPr>
          <w:b/>
        </w:rPr>
        <w:t xml:space="preserve">risk register entry R6</w:t>
      </w:r>
      <w:r>
        <w:t xml:space="preserve"> </w:t>
      </w:r>
      <w:r>
        <w:t xml:space="preserve">and is on the FY27 backlog.</w:t>
      </w:r>
    </w:p>
    <w:p>
      <w:pPr>
        <w:numPr>
          <w:ilvl w:val="0"/>
          <w:numId w:val="1002"/>
        </w:numPr>
        <w:pStyle w:val="Compact"/>
      </w:pPr>
      <w:r>
        <w:t xml:space="preserve">Recovery test depth across services is limited; only ToC has been failover-tested at the full-region scope. This is captured as</w:t>
      </w:r>
      <w:r>
        <w:t xml:space="preserve"> </w:t>
      </w:r>
      <w:r>
        <w:rPr>
          <w:b/>
        </w:rPr>
        <w:t xml:space="preserve">risk register entry R2</w:t>
      </w:r>
      <w:r>
        <w:t xml:space="preserve">.</w:t>
      </w:r>
    </w:p>
    <w:p>
      <w:pPr>
        <w:pStyle w:val="Heading2"/>
      </w:pPr>
      <w:bookmarkStart w:id="24" w:name="X3a3cee6a40aabb43c629d3302f381e9113982f2"/>
      <w:r>
        <w:t xml:space="preserve">4. Authorities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Holder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 activation</w:t>
            </w:r>
          </w:p>
        </w:tc>
        <w:tc>
          <w:p>
            <w:pPr>
              <w:pStyle w:val="Compact"/>
              <w:jc w:val="left"/>
            </w:pPr>
            <w:r>
              <w:t xml:space="preserve">CTO (David Mehta); designated alternate: VP Engineering (Tomás Reyes)</w:t>
            </w:r>
          </w:p>
        </w:tc>
        <w:tc>
          <w:p>
            <w:pPr>
              <w:pStyle w:val="Compact"/>
              <w:jc w:val="left"/>
            </w:pPr>
            <w:r>
              <w:t xml:space="preserve">Activation declared in writing in</w:t>
            </w:r>
            <w:r>
              <w:t xml:space="preserve"> </w:t>
            </w:r>
            <w:r>
              <w:rPr>
                <w:rStyle w:val="VerbatimChar"/>
              </w:rPr>
              <w:t xml:space="preserve">#dr-activation</w:t>
            </w:r>
            <w:r>
              <w:t xml:space="preserve"> </w:t>
            </w:r>
            <w:r>
              <w:t xml:space="preserve">Slack channel.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Incident Commander (technical)</w:t>
            </w:r>
          </w:p>
        </w:tc>
        <w:tc>
          <w:p>
            <w:pPr>
              <w:pStyle w:val="Compact"/>
              <w:jc w:val="left"/>
            </w:pPr>
            <w:r>
              <w:t xml:space="preserve">Engineering on-call SRE lead</w:t>
            </w:r>
          </w:p>
        </w:tc>
        <w:tc>
          <w:p>
            <w:pPr>
              <w:pStyle w:val="Compact"/>
              <w:jc w:val="left"/>
            </w:pPr>
            <w:r>
              <w:t xml:space="preserve">Operates the recovery runbook.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communications</w:t>
            </w:r>
          </w:p>
        </w:tc>
        <w:tc>
          <w:p>
            <w:pPr>
              <w:pStyle w:val="Compact"/>
              <w:jc w:val="left"/>
            </w:pPr>
            <w:r>
              <w:t xml:space="preserve">VP Customer Success (Lauren Pham) per PLN-IR-01 §8</w:t>
            </w:r>
          </w:p>
        </w:tc>
        <w:tc>
          <w:p>
            <w:pPr>
              <w:pStyle w:val="Compact"/>
              <w:jc w:val="left"/>
            </w:pPr>
            <w:r>
              <w:t xml:space="preserve">Authorized by CEO during DR.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Severity declaration (when DR is triggered by a security event)</w:t>
            </w:r>
          </w:p>
        </w:tc>
        <w:tc>
          <w:p>
            <w:pPr>
              <w:pStyle w:val="Compact"/>
              <w:jc w:val="left"/>
            </w:pPr>
            <w:r>
              <w:t xml:space="preserve">CISO per PLN-IR-01 §4</w:t>
            </w:r>
          </w:p>
        </w:tc>
        <w:tc>
          <w:p>
            <w:pPr>
              <w:pStyle w:val="Compact"/>
              <w:jc w:val="left"/>
            </w:pPr>
            <w:r>
              <w:t xml:space="preserve">Coordinated with CTO.</w:t>
            </w:r>
          </w:p>
        </w:tc>
      </w:tr>
    </w:tbl>
    <w:p>
      <w:pPr>
        <w:pStyle w:val="Heading2"/>
      </w:pPr>
      <w:bookmarkStart w:id="25" w:name="Xfccaf84e6f3d810c7e21f7438e6ee78fa4c6b8b"/>
      <w:r>
        <w:t xml:space="preserve">5. DR Activation Triggers</w:t>
      </w:r>
      <w:bookmarkEnd w:id="25"/>
    </w:p>
    <w:p>
      <w:pPr>
        <w:pStyle w:val="FirstParagraph"/>
      </w:pPr>
      <w:r>
        <w:t xml:space="preserve">DR is activated when</w:t>
      </w:r>
      <w:r>
        <w:t xml:space="preserve"> </w:t>
      </w:r>
      <w:r>
        <w:rPr>
          <w:b/>
        </w:rPr>
        <w:t xml:space="preserve">one or more</w:t>
      </w:r>
      <w:r>
        <w:t xml:space="preserve"> </w:t>
      </w:r>
      <w:r>
        <w:t xml:space="preserve">of the following are observed:</w:t>
      </w:r>
    </w:p>
    <w:p>
      <w:pPr>
        <w:numPr>
          <w:ilvl w:val="0"/>
          <w:numId w:val="1003"/>
        </w:numPr>
        <w:pStyle w:val="Compact"/>
      </w:pPr>
      <w:r>
        <w:t xml:space="preserve">AWS service-health dashboard or AWS support indicates a us-east-1 regional impairment lasting or expected to last beyond 1 hour for any P1-supporting service (Aurora, EKS, S3, ELB, Route 53, IAM, KMS).</w:t>
      </w:r>
    </w:p>
    <w:p>
      <w:pPr>
        <w:numPr>
          <w:ilvl w:val="0"/>
          <w:numId w:val="1003"/>
        </w:numPr>
        <w:pStyle w:val="Compact"/>
      </w:pPr>
      <w:r>
        <w:t xml:space="preserve">Internal monitoring (Datadog) shows &gt;50% degradation of P1 SLIs sustained beyond 30 minutes with no in-region remediation path.</w:t>
      </w:r>
    </w:p>
    <w:p>
      <w:pPr>
        <w:numPr>
          <w:ilvl w:val="0"/>
          <w:numId w:val="1003"/>
        </w:numPr>
        <w:pStyle w:val="Compact"/>
      </w:pPr>
      <w:r>
        <w:t xml:space="preserve">A security incident (per PLN-IR-01) requires evacuation from us-east-1 (e.g., suspected production-account compromise).</w:t>
      </w:r>
    </w:p>
    <w:p>
      <w:pPr>
        <w:numPr>
          <w:ilvl w:val="0"/>
          <w:numId w:val="1003"/>
        </w:numPr>
        <w:pStyle w:val="Compact"/>
      </w:pPr>
      <w:r>
        <w:t xml:space="preserve">An MCT-internal change-induced outage where in-place recovery is infeasible.</w:t>
      </w:r>
    </w:p>
    <w:p>
      <w:pPr>
        <w:pStyle w:val="FirstParagraph"/>
      </w:pPr>
      <w:r>
        <w:t xml:space="preserve">The CTO has authority to declare DR activation; in the CTO's absence, the VP Engineering. Activation is communicated in</w:t>
      </w:r>
      <w:r>
        <w:t xml:space="preserve"> </w:t>
      </w:r>
      <w:r>
        <w:rPr>
          <w:rStyle w:val="VerbatimChar"/>
        </w:rPr>
        <w:t xml:space="preserve">#dr-activation</w:t>
      </w:r>
      <w:r>
        <w:t xml:space="preserve">, in</w:t>
      </w:r>
      <w:r>
        <w:t xml:space="preserve"> </w:t>
      </w:r>
      <w:r>
        <w:rPr>
          <w:rStyle w:val="VerbatimChar"/>
        </w:rPr>
        <w:t xml:space="preserve">#sec-ir-cmd</w:t>
      </w:r>
      <w:r>
        <w:t xml:space="preserve"> </w:t>
      </w:r>
      <w:r>
        <w:t xml:space="preserve">if security-driven, and to the Steering Committee within 30 minutes.</w:t>
      </w:r>
    </w:p>
    <w:p>
      <w:pPr>
        <w:pStyle w:val="Heading2"/>
      </w:pPr>
      <w:bookmarkStart w:id="26" w:name="Xe859e42212fe589f78739ac101e010be8f550be"/>
      <w:r>
        <w:t xml:space="preserve">6. Runbook — Region Failure to us-west-2 (P1 Services)</w:t>
      </w:r>
      <w:bookmarkEnd w:id="26"/>
    </w:p>
    <w:p>
      <w:pPr>
        <w:pStyle w:val="FirstParagraph"/>
      </w:pPr>
      <w:r>
        <w:t xml:space="preserve">The following runbook is the authoritative procedure for promoting us-west-2 to active for the ToC and Referral Lifecycle Management services. The runbook is maintained in the</w:t>
      </w:r>
      <w:r>
        <w:t xml:space="preserve"> </w:t>
      </w:r>
      <w:r>
        <w:rPr>
          <w:rStyle w:val="VerbatimChar"/>
        </w:rPr>
        <w:t xml:space="preserve">dr-runbooks</w:t>
      </w:r>
      <w:r>
        <w:t xml:space="preserve"> </w:t>
      </w:r>
      <w:r>
        <w:t xml:space="preserve">Git repo and is exercised at least annually (most recently April 2025; see RPT-Recovery-Test-Results-2025).</w:t>
      </w:r>
    </w:p>
    <w:p>
      <w:pPr>
        <w:pStyle w:val="Heading3"/>
      </w:pPr>
      <w:bookmarkStart w:id="27" w:name="step-1--confirm-and-declare-t0--t15m"/>
      <w:r>
        <w:t xml:space="preserve">Step 1 — Confirm and declare (T+0 → T+15m)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SRE on-call confirms us-east-1 impairment via AWS service health, Datadog, and synthetic monitoring.</w:t>
      </w:r>
    </w:p>
    <w:p>
      <w:pPr>
        <w:numPr>
          <w:ilvl w:val="0"/>
          <w:numId w:val="1004"/>
        </w:numPr>
        <w:pStyle w:val="Compact"/>
      </w:pPr>
      <w:r>
        <w:t xml:space="preserve">CTO declares DR activation in</w:t>
      </w:r>
      <w:r>
        <w:t xml:space="preserve"> </w:t>
      </w:r>
      <w:r>
        <w:rPr>
          <w:rStyle w:val="VerbatimChar"/>
        </w:rPr>
        <w:t xml:space="preserve">#dr-activation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War room opened (Zoom standing room).</w:t>
      </w:r>
    </w:p>
    <w:p>
      <w:pPr>
        <w:numPr>
          <w:ilvl w:val="0"/>
          <w:numId w:val="1004"/>
        </w:numPr>
        <w:pStyle w:val="Compact"/>
      </w:pPr>
      <w:r>
        <w:t xml:space="preserve">Customer Success notified; comms lead drafts initial customer advisory.</w:t>
      </w:r>
    </w:p>
    <w:p>
      <w:pPr>
        <w:pStyle w:val="Heading3"/>
      </w:pPr>
      <w:bookmarkStart w:id="28" w:name="X0424ff2ae0df70d3ced6a7533ddf8ff56d5a67c"/>
      <w:r>
        <w:t xml:space="preserve">Step 2 — Aurora cross-region promotion (T+15m → T+1h)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SRE invokes the Aurora promotion script (</w:t>
      </w:r>
      <w:r>
        <w:rPr>
          <w:rStyle w:val="VerbatimChar"/>
        </w:rPr>
        <w:t xml:space="preserve">dr-scripts/promote-aurora.sh</w:t>
      </w:r>
      <w:r>
        <w:t xml:space="preserve">) which:</w:t>
      </w:r>
      <w:r>
        <w:t xml:space="preserve"> </w:t>
      </w:r>
      <w:r>
        <w:t xml:space="preserve">a. Confirms replica lag &lt; 60 seconds (RPO check).</w:t>
      </w:r>
      <w:r>
        <w:t xml:space="preserve"> </w:t>
      </w:r>
      <w:r>
        <w:t xml:space="preserve">b. Runs</w:t>
      </w:r>
      <w:r>
        <w:t xml:space="preserve"> </w:t>
      </w:r>
      <w:r>
        <w:rPr>
          <w:rStyle w:val="VerbatimChar"/>
        </w:rPr>
        <w:t xml:space="preserve">aws rds promote-read-replica-db-cluster</w:t>
      </w:r>
      <w:r>
        <w:t xml:space="preserve"> </w:t>
      </w:r>
      <w:r>
        <w:t xml:space="preserve">for the ToC and Referral clusters.</w:t>
      </w:r>
      <w:r>
        <w:t xml:space="preserve"> </w:t>
      </w:r>
      <w:r>
        <w:t xml:space="preserve">c. Updates the Secrets Manager entries with the new endpoints.</w:t>
      </w:r>
      <w:r>
        <w:t xml:space="preserve"> </w:t>
      </w:r>
      <w:r>
        <w:t xml:space="preserve">d. Validates promotion via</w:t>
      </w:r>
      <w:r>
        <w:t xml:space="preserve"> </w:t>
      </w:r>
      <w:r>
        <w:rPr>
          <w:rStyle w:val="VerbatimChar"/>
        </w:rPr>
        <w:t xml:space="preserve">pg_is_in_recovery()</w:t>
      </w:r>
      <w:r>
        <w:t xml:space="preserve"> </w:t>
      </w:r>
      <w:r>
        <w:t xml:space="preserve">returning false.</w:t>
      </w:r>
    </w:p>
    <w:p>
      <w:pPr>
        <w:numPr>
          <w:ilvl w:val="0"/>
          <w:numId w:val="1005"/>
        </w:numPr>
        <w:pStyle w:val="Compact"/>
      </w:pPr>
      <w:r>
        <w:t xml:space="preserve">Verification: SRE runs the post-promotion smoke test suite (~50 read/write checks against representative tables).</w:t>
      </w:r>
    </w:p>
    <w:p>
      <w:pPr>
        <w:numPr>
          <w:ilvl w:val="0"/>
          <w:numId w:val="1005"/>
        </w:numPr>
        <w:pStyle w:val="Compact"/>
      </w:pPr>
      <w:r>
        <w:t xml:space="preserve">If replica lag exceeded 60 seconds at promotion, document the actual RPO observed and notify the IC immediately.</w:t>
      </w:r>
    </w:p>
    <w:p>
      <w:pPr>
        <w:pStyle w:val="Heading3"/>
      </w:pPr>
      <w:bookmarkStart w:id="29" w:name="X9e7d0b15407e55ddc84e2afcf9fd2179265dc3c"/>
      <w:r>
        <w:t xml:space="preserve">Step 3 — EKS workload recreation (T+30m → T+3h, parallel with Step 2)</w:t>
      </w:r>
      <w:bookmarkEnd w:id="29"/>
    </w:p>
    <w:p>
      <w:pPr>
        <w:numPr>
          <w:ilvl w:val="0"/>
          <w:numId w:val="1006"/>
        </w:numPr>
        <w:pStyle w:val="Compact"/>
      </w:pPr>
      <w:r>
        <w:t xml:space="preserve">SRE applies the warm-DR Terraform stack for</w:t>
      </w:r>
      <w:r>
        <w:t xml:space="preserve"> </w:t>
      </w:r>
      <w:r>
        <w:rPr>
          <w:rStyle w:val="VerbatimChar"/>
        </w:rPr>
        <w:t xml:space="preserve">meridiancare-prod-usw2</w:t>
      </w:r>
      <w:r>
        <w:t xml:space="preserve"> </w:t>
      </w:r>
      <w:r>
        <w:t xml:space="preserve">(</w:t>
      </w:r>
      <w:r>
        <w:rPr>
          <w:rStyle w:val="VerbatimChar"/>
        </w:rPr>
        <w:t xml:space="preserve">terraform apply -var env=prod -var region=us-west-2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Cluster bootstrapping pulls EKS images from the cross-region ECR replica (replication enabled FY24).</w:t>
      </w:r>
    </w:p>
    <w:p>
      <w:pPr>
        <w:numPr>
          <w:ilvl w:val="0"/>
          <w:numId w:val="1006"/>
        </w:numPr>
        <w:pStyle w:val="Compact"/>
      </w:pPr>
      <w:r>
        <w:t xml:space="preserve">Service deployments applied via ArgoCD; ArgoCD points at the same Git source of truth.</w:t>
      </w:r>
    </w:p>
    <w:p>
      <w:pPr>
        <w:numPr>
          <w:ilvl w:val="0"/>
          <w:numId w:val="1006"/>
        </w:numPr>
        <w:pStyle w:val="Compact"/>
      </w:pPr>
      <w:r>
        <w:t xml:space="preserve">Validate pod-readiness for ToC and Referral namespaces; address any image-cache or secret-mount issues (see RPT-Recovery-Test-Results-2025 §4 for the EKS image-cache lesson learned).</w:t>
      </w:r>
    </w:p>
    <w:p>
      <w:pPr>
        <w:pStyle w:val="Heading3"/>
      </w:pPr>
      <w:bookmarkStart w:id="30" w:name="step-4--s3-no-action-required"/>
      <w:r>
        <w:t xml:space="preserve">Step 4 — S3 (no action required)</w:t>
      </w:r>
      <w:bookmarkEnd w:id="30"/>
    </w:p>
    <w:p>
      <w:pPr>
        <w:numPr>
          <w:ilvl w:val="0"/>
          <w:numId w:val="1007"/>
        </w:numPr>
        <w:pStyle w:val="Compact"/>
      </w:pPr>
      <w:r>
        <w:t xml:space="preserve">S3 cross-region replication is already in place (KMS replication; replication metric monitored).</w:t>
      </w:r>
    </w:p>
    <w:p>
      <w:pPr>
        <w:numPr>
          <w:ilvl w:val="0"/>
          <w:numId w:val="1007"/>
        </w:numPr>
        <w:pStyle w:val="Compact"/>
      </w:pPr>
      <w:r>
        <w:t xml:space="preserve">Application configuration update points the S3 client at the us-west-2 bucket.</w:t>
      </w:r>
    </w:p>
    <w:p>
      <w:pPr>
        <w:pStyle w:val="Heading3"/>
      </w:pPr>
      <w:bookmarkStart w:id="31" w:name="X1f468ea64bf491739e0d2349fe7c79ea1af55b1"/>
      <w:r>
        <w:t xml:space="preserve">Step 5 — DNS cutover via Route 53 (T+3h → T+4h)</w:t>
      </w:r>
      <w:bookmarkEnd w:id="31"/>
    </w:p>
    <w:p>
      <w:pPr>
        <w:numPr>
          <w:ilvl w:val="0"/>
          <w:numId w:val="1008"/>
        </w:numPr>
        <w:pStyle w:val="Compact"/>
      </w:pPr>
      <w:r>
        <w:t xml:space="preserve">SRE updates Route 53 weighted records for the ToC and Referral hostnames to direct 100% of traffic to the us-west-2 ALB.</w:t>
      </w:r>
    </w:p>
    <w:p>
      <w:pPr>
        <w:numPr>
          <w:ilvl w:val="0"/>
          <w:numId w:val="1008"/>
        </w:numPr>
        <w:pStyle w:val="Compact"/>
      </w:pPr>
      <w:r>
        <w:t xml:space="preserve">CloudFront origin failover (configured) automatically prefers the healthy origin once the ALB health check passes.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Known issue:</w:t>
      </w:r>
      <w:r>
        <w:t xml:space="preserve"> </w:t>
      </w:r>
      <w:r>
        <w:t xml:space="preserve">legacy DNS TTLs on some ToC subdomains were 300 seconds at the April 2025 test, which delayed full traffic cutover. TTLs were reduced to 60 seconds post-test for the ToC and Referral subdomains. To be revalidated in the next test.</w:t>
      </w:r>
    </w:p>
    <w:p>
      <w:pPr>
        <w:pStyle w:val="Heading3"/>
      </w:pPr>
      <w:bookmarkStart w:id="32" w:name="step-6--identity-okta-auth0"/>
      <w:r>
        <w:t xml:space="preserve">Step 6 — Identity (Okta, Auth0)</w:t>
      </w:r>
      <w:bookmarkEnd w:id="32"/>
    </w:p>
    <w:p>
      <w:pPr>
        <w:numPr>
          <w:ilvl w:val="0"/>
          <w:numId w:val="1009"/>
        </w:numPr>
        <w:pStyle w:val="Compact"/>
      </w:pPr>
      <w:r>
        <w:t xml:space="preserve">Okta is multi-region by Okta's own architecture; no MCT action required for workforce identity.</w:t>
      </w:r>
    </w:p>
    <w:p>
      <w:pPr>
        <w:numPr>
          <w:ilvl w:val="0"/>
          <w:numId w:val="1009"/>
        </w:numPr>
        <w:pStyle w:val="Compact"/>
      </w:pPr>
      <w:r>
        <w:t xml:space="preserve">Auth0 is multi-region by Auth0's architecture; no MCT action required for patient-facing identity.</w:t>
      </w:r>
    </w:p>
    <w:p>
      <w:pPr>
        <w:pStyle w:val="Heading3"/>
      </w:pPr>
      <w:bookmarkStart w:id="33" w:name="X3e26a9060da230378addaf2b223e2a986a28961"/>
      <w:r>
        <w:t xml:space="preserve">Step 7 — Security telemetry (Datadog, CrowdStrike)</w:t>
      </w:r>
      <w:bookmarkEnd w:id="33"/>
    </w:p>
    <w:p>
      <w:pPr>
        <w:numPr>
          <w:ilvl w:val="0"/>
          <w:numId w:val="1010"/>
        </w:numPr>
        <w:pStyle w:val="Compact"/>
      </w:pPr>
      <w:r>
        <w:t xml:space="preserve">Datadog continues to receive logs from us-west-2 (region-agnostic ingest).</w:t>
      </w:r>
    </w:p>
    <w:p>
      <w:pPr>
        <w:numPr>
          <w:ilvl w:val="0"/>
          <w:numId w:val="1010"/>
        </w:numPr>
        <w:pStyle w:val="Compact"/>
      </w:pPr>
      <w:r>
        <w:t xml:space="preserve">CrowdStrike endpoint coverage is region-agnostic.</w:t>
      </w:r>
    </w:p>
    <w:p>
      <w:pPr>
        <w:numPr>
          <w:ilvl w:val="0"/>
          <w:numId w:val="1010"/>
        </w:numPr>
        <w:pStyle w:val="Compact"/>
      </w:pPr>
      <w:r>
        <w:t xml:space="preserve">WAF v2 rules are deployed via Terraform to both regions; no manual action.</w:t>
      </w:r>
    </w:p>
    <w:p>
      <w:pPr>
        <w:pStyle w:val="Heading3"/>
      </w:pPr>
      <w:bookmarkStart w:id="34" w:name="X40c71ffaa7d81be07f328bc07cca4b8f5d5f423"/>
      <w:r>
        <w:t xml:space="preserve">Step 8 — Customer communication (T+1h → continuous)</w:t>
      </w:r>
      <w:bookmarkEnd w:id="34"/>
    </w:p>
    <w:p>
      <w:pPr>
        <w:numPr>
          <w:ilvl w:val="0"/>
          <w:numId w:val="1011"/>
        </w:numPr>
        <w:pStyle w:val="Compact"/>
      </w:pPr>
      <w:r>
        <w:t xml:space="preserve">Customer advisory drafted by VP CS, cleared by CISO and GC, sent at the earliest moment a meaningful status can be shared.</w:t>
      </w:r>
    </w:p>
    <w:p>
      <w:pPr>
        <w:numPr>
          <w:ilvl w:val="0"/>
          <w:numId w:val="1011"/>
        </w:numPr>
        <w:pStyle w:val="Compact"/>
      </w:pPr>
      <w:r>
        <w:t xml:space="preserve">Customer status page (</w:t>
      </w:r>
      <w:r>
        <w:rPr>
          <w:rStyle w:val="VerbatimChar"/>
        </w:rPr>
        <w:t xml:space="preserve">status.meridiancare.com</w:t>
      </w:r>
      <w:r>
        <w:t xml:space="preserve">) updated.</w:t>
      </w:r>
    </w:p>
    <w:p>
      <w:pPr>
        <w:numPr>
          <w:ilvl w:val="0"/>
          <w:numId w:val="1011"/>
        </w:numPr>
        <w:pStyle w:val="Compact"/>
      </w:pPr>
      <w:r>
        <w:t xml:space="preserve">Status updates every 60 minutes during active recovery; at least every 4 hours thereafter.</w:t>
      </w:r>
    </w:p>
    <w:p>
      <w:pPr>
        <w:pStyle w:val="Heading3"/>
      </w:pPr>
      <w:bookmarkStart w:id="35" w:name="step-9--failback"/>
      <w:r>
        <w:t xml:space="preserve">Step 9 — Failback</w:t>
      </w:r>
      <w:bookmarkEnd w:id="35"/>
    </w:p>
    <w:p>
      <w:pPr>
        <w:pStyle w:val="FirstParagraph"/>
      </w:pPr>
      <w:r>
        <w:t xml:space="preserve">Failback to us-east-1 is performed only after the cause is fully resolved and a maintenance window is scheduled with customers. Failback uses the inverse procedure with replication direction reversed. Failback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time-pressured; preference is to take time to validate over rushing.</w:t>
      </w:r>
    </w:p>
    <w:p>
      <w:pPr>
        <w:pStyle w:val="Heading2"/>
      </w:pPr>
      <w:bookmarkStart w:id="36" w:name="Xfb5cf2a493842f6378b6357944649601a0ca17c"/>
      <w:r>
        <w:t xml:space="preserve">7. Population Insights (P2) — Recovery Procedure</w:t>
      </w:r>
      <w:bookmarkEnd w:id="36"/>
    </w:p>
    <w:p>
      <w:pPr>
        <w:pStyle w:val="FirstParagraph"/>
      </w:pPr>
      <w:r>
        <w:t xml:space="preserve">Population Insights is delivered out of Snowflake and is currently a</w:t>
      </w:r>
      <w:r>
        <w:t xml:space="preserve"> </w:t>
      </w:r>
      <w:r>
        <w:rPr>
          <w:b/>
        </w:rPr>
        <w:t xml:space="preserve">P2 service</w:t>
      </w:r>
      <w:r>
        <w:t xml:space="preserve"> </w:t>
      </w:r>
      <w:r>
        <w:t xml:space="preserve">with target RTO 24h and RPO 4h. The service has weaker DR posture than P1 services:</w:t>
      </w:r>
    </w:p>
    <w:p>
      <w:pPr>
        <w:numPr>
          <w:ilvl w:val="0"/>
          <w:numId w:val="1012"/>
        </w:numPr>
        <w:pStyle w:val="Compact"/>
      </w:pPr>
      <w:r>
        <w:t xml:space="preserve">Snowflake replication is configured account-to-account but is</w:t>
      </w:r>
      <w:r>
        <w:t xml:space="preserve"> </w:t>
      </w:r>
      <w:r>
        <w:rPr>
          <w:b/>
        </w:rPr>
        <w:t xml:space="preserve">asynchronous</w:t>
      </w:r>
      <w:r>
        <w:t xml:space="preserve"> </w:t>
      </w:r>
      <w:r>
        <w:t xml:space="preserve">with 2–4 hour typical lag.</w:t>
      </w:r>
    </w:p>
    <w:p>
      <w:pPr>
        <w:numPr>
          <w:ilvl w:val="0"/>
          <w:numId w:val="1012"/>
        </w:numPr>
        <w:pStyle w:val="Compact"/>
      </w:pPr>
      <w:r>
        <w:t xml:space="preserve">Warm-standby Snowflake compute is</w:t>
      </w:r>
      <w:r>
        <w:t xml:space="preserve"> </w:t>
      </w:r>
      <w:r>
        <w:rPr>
          <w:b/>
        </w:rPr>
        <w:t xml:space="preserve">not pre-provisioned</w:t>
      </w:r>
      <w:r>
        <w:t xml:space="preserve"> </w:t>
      </w:r>
      <w:r>
        <w:t xml:space="preserve">in us-west-2; activation requires manual provisioning and Fivetran reconfiguration to a secondary endpoint.</w:t>
      </w:r>
    </w:p>
    <w:p>
      <w:pPr>
        <w:numPr>
          <w:ilvl w:val="0"/>
          <w:numId w:val="1012"/>
        </w:numPr>
        <w:pStyle w:val="Compact"/>
      </w:pPr>
      <w:r>
        <w:t xml:space="preserve">Estimated total RTO: 8–18 hours depending on Fivetran re-keying and customer-data validation.</w:t>
      </w:r>
    </w:p>
    <w:p>
      <w:pPr>
        <w:pStyle w:val="FirstParagraph"/>
      </w:pPr>
      <w:r>
        <w:t xml:space="preserve">This is captured as</w:t>
      </w:r>
      <w:r>
        <w:t xml:space="preserve"> </w:t>
      </w:r>
      <w:r>
        <w:rPr>
          <w:b/>
        </w:rPr>
        <w:t xml:space="preserve">risk register entry R6 (Warm-DR readiness for Population Insights)</w:t>
      </w:r>
      <w:r>
        <w:t xml:space="preserve">. The current posture is within the 24h RTO commitment but with limited margin. The FY27 plan introduces a hot-standby Snowflake account in us-west-2.</w:t>
      </w:r>
    </w:p>
    <w:p>
      <w:pPr>
        <w:pStyle w:val="Heading2"/>
      </w:pPr>
      <w:bookmarkStart w:id="37" w:name="X113ed2ceb118808eb8884dc4964771fbc25aa89"/>
      <w:r>
        <w:t xml:space="preserve">8. Legacy ETL Cluster — Out of Scope for Tier-Aligned RTO</w:t>
      </w:r>
      <w:bookmarkEnd w:id="37"/>
    </w:p>
    <w:p>
      <w:pPr>
        <w:pStyle w:val="FirstParagraph"/>
      </w:pPr>
      <w:r>
        <w:t xml:space="preserve">The legacy on-premises ETL cluster at the Raleigh HQ is</w:t>
      </w:r>
      <w:r>
        <w:t xml:space="preserve"> </w:t>
      </w:r>
      <w:r>
        <w:rPr>
          <w:b/>
        </w:rPr>
        <w:t xml:space="preserve">out of scope</w:t>
      </w:r>
      <w:r>
        <w:t xml:space="preserve"> </w:t>
      </w:r>
      <w:r>
        <w:t xml:space="preserve">for the P1/P2 RTO/RPO commitments. Recovery of this cluster is governed by RUNBOOK-LegacyETL-DR, which is a manual restoration procedure with the following characteristics:</w:t>
      </w:r>
    </w:p>
    <w:p>
      <w:pPr>
        <w:numPr>
          <w:ilvl w:val="0"/>
          <w:numId w:val="1013"/>
        </w:numPr>
        <w:pStyle w:val="Compact"/>
      </w:pPr>
      <w:r>
        <w:t xml:space="preserve">Restore from off-site backup tape rotation; estimated RTO 5–10 days.</w:t>
      </w:r>
    </w:p>
    <w:p>
      <w:pPr>
        <w:numPr>
          <w:ilvl w:val="0"/>
          <w:numId w:val="1013"/>
        </w:numPr>
        <w:pStyle w:val="Compact"/>
      </w:pPr>
      <w:r>
        <w:t xml:space="preserve">Two long-tenured customer integrations are dependent; both are mid-migration to the modern integration (60% complete as of Q4 2025) and both customers have signed acknowledgment of the extended-RTO posture.</w:t>
      </w:r>
    </w:p>
    <w:p>
      <w:pPr>
        <w:numPr>
          <w:ilvl w:val="0"/>
          <w:numId w:val="1013"/>
        </w:numPr>
        <w:pStyle w:val="Compact"/>
      </w:pPr>
      <w:r>
        <w:t xml:space="preserve">Decommission target Q4 2026.</w:t>
      </w:r>
    </w:p>
    <w:p>
      <w:pPr>
        <w:numPr>
          <w:ilvl w:val="0"/>
          <w:numId w:val="1013"/>
        </w:numPr>
        <w:pStyle w:val="Compact"/>
      </w:pPr>
      <w:r>
        <w:t xml:space="preserve">Risk register entry R4 (PHI flow visibility) tracks this asset's unique posture.</w:t>
      </w:r>
    </w:p>
    <w:p>
      <w:pPr>
        <w:pStyle w:val="Heading2"/>
      </w:pPr>
      <w:bookmarkStart w:id="38" w:name="Xca0bef03379bf54f867010248f71f1f9b560349"/>
      <w:r>
        <w:t xml:space="preserve">9. Call Tree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SRE on-call</w:t>
            </w:r>
          </w:p>
        </w:tc>
        <w:tc>
          <w:p>
            <w:pPr>
              <w:pStyle w:val="Compact"/>
              <w:jc w:val="left"/>
            </w:pPr>
            <w:r>
              <w:t xml:space="preserve">Engineering on-call rotation (4 SREs)</w:t>
            </w:r>
          </w:p>
        </w:tc>
        <w:tc>
          <w:p>
            <w:pPr>
              <w:pStyle w:val="Compact"/>
              <w:jc w:val="left"/>
            </w:pPr>
            <w:r>
              <w:t xml:space="preserve">Backup on-call</w:t>
            </w:r>
          </w:p>
        </w:tc>
        <w:tc>
          <w:p>
            <w:pPr>
              <w:pStyle w:val="Compact"/>
              <w:jc w:val="left"/>
            </w:pPr>
            <w:r>
              <w:t xml:space="preserve">PagerDuty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Security on-call</w:t>
            </w:r>
          </w:p>
        </w:tc>
        <w:tc>
          <w:p>
            <w:pPr>
              <w:pStyle w:val="Compact"/>
              <w:jc w:val="left"/>
            </w:pPr>
            <w:r>
              <w:t xml:space="preserve">M. Tan / P. Iyer rotation</w:t>
            </w:r>
          </w:p>
        </w:tc>
        <w:tc>
          <w:p>
            <w:pPr>
              <w:pStyle w:val="Compact"/>
              <w:jc w:val="left"/>
            </w:pPr>
            <w:r>
              <w:t xml:space="preserve">A. Reyes; B. Olafsson</w:t>
            </w:r>
          </w:p>
        </w:tc>
        <w:tc>
          <w:p>
            <w:pPr>
              <w:pStyle w:val="Compact"/>
              <w:jc w:val="left"/>
            </w:pPr>
            <w:r>
              <w:t xml:space="preserve">PagerDuty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VP Engineering</w:t>
            </w:r>
          </w:p>
        </w:tc>
        <w:tc>
          <w:p>
            <w:pPr>
              <w:pStyle w:val="Compact"/>
              <w:jc w:val="left"/>
            </w:pPr>
            <w:r>
              <w:t xml:space="preserve">Tomás Reyes</w:t>
            </w:r>
          </w:p>
        </w:tc>
        <w:tc>
          <w:p>
            <w:pPr>
              <w:pStyle w:val="Compact"/>
              <w:jc w:val="left"/>
            </w:pPr>
            <w:r>
              <w:t xml:space="preserve">Engineering Director (rotating)</w:t>
            </w:r>
          </w:p>
        </w:tc>
        <w:tc>
          <w:p>
            <w:pPr>
              <w:pStyle w:val="Compact"/>
              <w:jc w:val="left"/>
            </w:pPr>
            <w:r>
              <w:t xml:space="preserve">Phone + Slack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CISO</w:t>
            </w:r>
          </w:p>
        </w:tc>
        <w:tc>
          <w:p>
            <w:pPr>
              <w:pStyle w:val="Compact"/>
              <w:jc w:val="left"/>
            </w:pPr>
            <w:r>
              <w:t xml:space="preserve">Sarah Yoon</w:t>
            </w:r>
          </w:p>
        </w:tc>
        <w:tc>
          <w:p>
            <w:pPr>
              <w:pStyle w:val="Compact"/>
              <w:jc w:val="left"/>
            </w:pPr>
            <w:r>
              <w:t xml:space="preserve">M. Tan</w:t>
            </w:r>
          </w:p>
        </w:tc>
        <w:tc>
          <w:p>
            <w:pPr>
              <w:pStyle w:val="Compact"/>
              <w:jc w:val="left"/>
            </w:pPr>
            <w:r>
              <w:t xml:space="preserve">Phone + Slack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David Mehta</w:t>
            </w:r>
          </w:p>
        </w:tc>
        <w:tc>
          <w:p>
            <w:pPr>
              <w:pStyle w:val="Compact"/>
              <w:jc w:val="left"/>
            </w:pPr>
            <w:r>
              <w:t xml:space="preserve">VP Eng</w:t>
            </w:r>
          </w:p>
        </w:tc>
        <w:tc>
          <w:p>
            <w:pPr>
              <w:pStyle w:val="Compact"/>
              <w:jc w:val="left"/>
            </w:pPr>
            <w:r>
              <w:t xml:space="preserve">Phone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VP Customer Success</w:t>
            </w:r>
          </w:p>
        </w:tc>
        <w:tc>
          <w:p>
            <w:pPr>
              <w:pStyle w:val="Compact"/>
              <w:jc w:val="left"/>
            </w:pPr>
            <w:r>
              <w:t xml:space="preserve">Lauren Pham</w:t>
            </w:r>
          </w:p>
        </w:tc>
        <w:tc>
          <w:p>
            <w:pPr>
              <w:pStyle w:val="Compact"/>
              <w:jc w:val="left"/>
            </w:pPr>
            <w:r>
              <w:t xml:space="preserve">Director of CS</w:t>
            </w:r>
          </w:p>
        </w:tc>
        <w:tc>
          <w:p>
            <w:pPr>
              <w:pStyle w:val="Compact"/>
              <w:jc w:val="left"/>
            </w:pPr>
            <w:r>
              <w:t xml:space="preserve">Phone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GC</w:t>
            </w:r>
          </w:p>
        </w:tc>
        <w:tc>
          <w:p>
            <w:pPr>
              <w:pStyle w:val="Compact"/>
              <w:jc w:val="left"/>
            </w:pPr>
            <w:r>
              <w:t xml:space="preserve">Marcus Holbrook</w:t>
            </w:r>
          </w:p>
        </w:tc>
        <w:tc>
          <w:p>
            <w:pPr>
              <w:pStyle w:val="Compact"/>
              <w:jc w:val="left"/>
            </w:pPr>
            <w:r>
              <w:t xml:space="preserve">Outside counsel</w:t>
            </w:r>
          </w:p>
        </w:tc>
        <w:tc>
          <w:p>
            <w:pPr>
              <w:pStyle w:val="Compact"/>
              <w:jc w:val="left"/>
            </w:pPr>
            <w:r>
              <w:t xml:space="preserve">Phone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p>
            <w:pPr>
              <w:pStyle w:val="Compact"/>
              <w:jc w:val="left"/>
            </w:pPr>
            <w:r>
              <w:t xml:space="preserve">Helena Park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Phone</w:t>
            </w:r>
          </w:p>
        </w:tc>
      </w:tr>
    </w:tbl>
    <w:p>
      <w:pPr>
        <w:pStyle w:val="BodyText"/>
      </w:pPr>
      <w:r>
        <w:t xml:space="preserve">PagerDuty schedule is the source of truth for tier-1 contact rotations.</w:t>
      </w:r>
    </w:p>
    <w:p>
      <w:pPr>
        <w:pStyle w:val="Heading2"/>
      </w:pPr>
      <w:bookmarkStart w:id="39" w:name="Xff076aadff51223e48b45e72d52d6fdaf228431"/>
      <w:r>
        <w:t xml:space="preserve">10. Customer Notification Commitments</w:t>
      </w:r>
      <w:bookmarkEnd w:id="39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First proactive notification:</w:t>
      </w:r>
      <w:r>
        <w:t xml:space="preserve"> </w:t>
      </w:r>
      <w:r>
        <w:t xml:space="preserve">within 60 minutes of DR activation, even if the recovery picture is still forming.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Status cadence:</w:t>
      </w:r>
      <w:r>
        <w:t xml:space="preserve"> </w:t>
      </w:r>
      <w:r>
        <w:t xml:space="preserve">every 60 minutes during active recovery; every 4 hours thereafter through resolution.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Resolution notice:</w:t>
      </w:r>
      <w:r>
        <w:t xml:space="preserve"> </w:t>
      </w:r>
      <w:r>
        <w:t xml:space="preserve">within 4 hours of full restoration.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Post-event report:</w:t>
      </w:r>
      <w:r>
        <w:t xml:space="preserve"> </w:t>
      </w:r>
      <w:r>
        <w:t xml:space="preserve">delivered to affected customers within 10 business days.</w:t>
      </w:r>
    </w:p>
    <w:p>
      <w:pPr>
        <w:pStyle w:val="FirstParagraph"/>
      </w:pPr>
      <w:r>
        <w:t xml:space="preserve">These commitments are reflected in standard customer contracts and BAAs.</w:t>
      </w:r>
    </w:p>
    <w:p>
      <w:pPr>
        <w:pStyle w:val="Heading2"/>
      </w:pPr>
      <w:bookmarkStart w:id="40" w:name="X77c40e522c94e8dae6c747f92ff7bf51e53ee1d"/>
      <w:r>
        <w:t xml:space="preserve">11. Testing Cadence and Honest Acknowledgment</w:t>
      </w:r>
      <w:bookmarkEnd w:id="40"/>
    </w:p>
    <w:p>
      <w:pPr>
        <w:pStyle w:val="FirstParagraph"/>
      </w:pPr>
      <w:r>
        <w:t xml:space="preserve">The Company commits to recovery testing as follows: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Annual (current)</w:t>
            </w:r>
          </w:p>
        </w:tc>
        <w:tc>
          <w:p>
            <w:pPr>
              <w:pStyle w:val="Compact"/>
              <w:jc w:val="left"/>
            </w:pPr>
            <w:r>
              <w:t xml:space="preserve">Full-failover test, single service</w:t>
            </w:r>
          </w:p>
        </w:tc>
        <w:tc>
          <w:p>
            <w:pPr>
              <w:pStyle w:val="Compact"/>
              <w:jc w:val="left"/>
            </w:pPr>
            <w:r>
              <w:t xml:space="preserve">One critical service at a time. Most recent: April 2025 — ToC service (RPT-Recovery-Test-Results-2025).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Annual (planned, FY26)</w:t>
            </w:r>
          </w:p>
        </w:tc>
        <w:tc>
          <w:p>
            <w:pPr>
              <w:pStyle w:val="Compact"/>
              <w:jc w:val="left"/>
            </w:pPr>
            <w:r>
              <w:t xml:space="preserve">One additional full-failover test</w:t>
            </w:r>
          </w:p>
        </w:tc>
        <w:tc>
          <w:p>
            <w:pPr>
              <w:pStyle w:val="Compact"/>
              <w:jc w:val="left"/>
            </w:pPr>
            <w:r>
              <w:t xml:space="preserve">Scope to be selected in Q1 2026 — likely Referral Lifecycle Management.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Quarterly (planned, FY26)</w:t>
            </w:r>
          </w:p>
        </w:tc>
        <w:tc>
          <w:p>
            <w:pPr>
              <w:pStyle w:val="Compact"/>
              <w:jc w:val="left"/>
            </w:pPr>
            <w:r>
              <w:t xml:space="preserve">Recovery tabletop, separate from IR tabletop</w:t>
            </w:r>
          </w:p>
        </w:tc>
        <w:tc>
          <w:p>
            <w:pPr>
              <w:pStyle w:val="Compact"/>
              <w:jc w:val="left"/>
            </w:pPr>
            <w:r>
              <w:t xml:space="preserve">Scenario-based, no production change.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Continuous</w:t>
            </w:r>
          </w:p>
        </w:tc>
        <w:tc>
          <w:p>
            <w:pPr>
              <w:pStyle w:val="Compact"/>
              <w:jc w:val="left"/>
            </w:pPr>
            <w:r>
              <w:t xml:space="preserve">Backup integrity tests</w:t>
            </w:r>
          </w:p>
        </w:tc>
        <w:tc>
          <w:p>
            <w:pPr>
              <w:pStyle w:val="Compact"/>
              <w:jc w:val="left"/>
            </w:pPr>
            <w:r>
              <w:t xml:space="preserve">Automated; daily</w:t>
            </w:r>
          </w:p>
        </w:tc>
      </w:tr>
    </w:tbl>
    <w:p>
      <w:pPr>
        <w:pStyle w:val="BodyText"/>
      </w:pPr>
      <w:r>
        <w:rPr>
          <w:b/>
        </w:rPr>
        <w:t xml:space="preserve">This is honestly less mature than the rest of the security program.</w:t>
      </w:r>
      <w:r>
        <w:t xml:space="preserve"> </w:t>
      </w:r>
      <w:r>
        <w:t xml:space="preserve">The current state — one full failover per year, scope-limited to one service — is captured as risk register entry R2 (Recovery testing depth) and is acknowledged as a known weakness in the Audit &amp; Risk Committee's December 2025 minutes. The FY26 plan adds incremental cadence; full coverage of all P1 services in a single calendar year remains an FY27 aspiration.</w:t>
      </w:r>
    </w:p>
    <w:p>
      <w:pPr>
        <w:pStyle w:val="BodyText"/>
      </w:pPr>
      <w:r>
        <w:t xml:space="preserve">The April 2025 test (RPT-Recovery-Test-Results-2025) demonstrates honest reporting of test results: the database tier achieved 3h47m (within the 4h P1 RTO target), but end-to-end ToC restoration achieved 5h12m (over the 4h target). The over-target result is documented and is not papered over.</w:t>
      </w:r>
    </w:p>
    <w:p>
      <w:pPr>
        <w:pStyle w:val="Heading2"/>
      </w:pPr>
      <w:bookmarkStart w:id="41" w:name="X01ad12ce1973210dd0100e0a003db24a5befc7b"/>
      <w:r>
        <w:t xml:space="preserve">12. Plan Maintenance</w:t>
      </w:r>
      <w:bookmarkEnd w:id="41"/>
    </w:p>
    <w:p>
      <w:pPr>
        <w:pStyle w:val="FirstParagraph"/>
      </w:pPr>
      <w:r>
        <w:t xml:space="preserve">This Plan is reviewed at least annually and after any DR activation or material architecture change. Reviews are coordinated by the VP Engineering and approved by the CTO and CISO.</w:t>
      </w:r>
    </w:p>
    <w:p>
      <w:pPr>
        <w:pStyle w:val="Heading2"/>
      </w:pPr>
      <w:bookmarkStart w:id="42" w:name="Xbab819adc757afb6f3e20beece027d71a7fab58"/>
      <w:r>
        <w:t xml:space="preserve">13. Linked Documents</w:t>
      </w:r>
      <w:bookmarkEnd w:id="42"/>
    </w:p>
    <w:p>
      <w:pPr>
        <w:numPr>
          <w:ilvl w:val="0"/>
          <w:numId w:val="1015"/>
        </w:numPr>
        <w:pStyle w:val="Compact"/>
      </w:pPr>
      <w:r>
        <w:t xml:space="preserve">POL-001 Information Security Policy</w:t>
      </w:r>
    </w:p>
    <w:p>
      <w:pPr>
        <w:numPr>
          <w:ilvl w:val="0"/>
          <w:numId w:val="1015"/>
        </w:numPr>
        <w:pStyle w:val="Compact"/>
      </w:pPr>
      <w:r>
        <w:t xml:space="preserve">BIA-2025-12 Business Impact Analysis</w:t>
      </w:r>
    </w:p>
    <w:p>
      <w:pPr>
        <w:numPr>
          <w:ilvl w:val="0"/>
          <w:numId w:val="1015"/>
        </w:numPr>
        <w:pStyle w:val="Compact"/>
      </w:pPr>
      <w:r>
        <w:t xml:space="preserve">PLN-BCP-01 Business Continuity Plan</w:t>
      </w:r>
    </w:p>
    <w:p>
      <w:pPr>
        <w:numPr>
          <w:ilvl w:val="0"/>
          <w:numId w:val="1015"/>
        </w:numPr>
        <w:pStyle w:val="Compact"/>
      </w:pPr>
      <w:r>
        <w:t xml:space="preserve">PLN-IR-01 Incident Response Plan</w:t>
      </w:r>
    </w:p>
    <w:p>
      <w:pPr>
        <w:numPr>
          <w:ilvl w:val="0"/>
          <w:numId w:val="1015"/>
        </w:numPr>
        <w:pStyle w:val="Compact"/>
      </w:pPr>
      <w:r>
        <w:t xml:space="preserve">RPT-Recovery-Test-Results-2025</w:t>
      </w:r>
    </w:p>
    <w:p>
      <w:pPr>
        <w:numPr>
          <w:ilvl w:val="0"/>
          <w:numId w:val="1015"/>
        </w:numPr>
        <w:pStyle w:val="Compact"/>
      </w:pPr>
      <w:r>
        <w:t xml:space="preserve">RUNBOOK-LegacyETL-DR</w:t>
      </w:r>
    </w:p>
    <w:p>
      <w:pPr>
        <w:numPr>
          <w:ilvl w:val="0"/>
          <w:numId w:val="1015"/>
        </w:numPr>
        <w:pStyle w:val="Compact"/>
      </w:pPr>
      <w:r>
        <w:t xml:space="preserve">RISK-Cyber-Risk-Register (R2, R4, R6)</w:t>
      </w:r>
    </w:p>
    <w:p>
      <w:pPr>
        <w:pStyle w:val="Heading2"/>
      </w:pPr>
      <w:bookmarkStart w:id="43" w:name="X3339f303e2cdc1a859cde4d8c34dfea21b744c5"/>
      <w:r>
        <w:t xml:space="preserve">14. Document Control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 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2021-04</w:t>
            </w:r>
          </w:p>
        </w:tc>
        <w:tc>
          <w:p>
            <w:pPr>
              <w:pStyle w:val="Compact"/>
              <w:jc w:val="left"/>
            </w:pPr>
            <w:r>
              <w:t xml:space="preserve">(predecessor)</w:t>
            </w:r>
          </w:p>
        </w:tc>
        <w:tc>
          <w:p>
            <w:pPr>
              <w:pStyle w:val="Compact"/>
              <w:jc w:val="left"/>
            </w:pPr>
            <w:r>
              <w:t xml:space="preserve">Initial DR plan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2023-09</w:t>
            </w:r>
          </w:p>
        </w:tc>
        <w:tc>
          <w:p>
            <w:pPr>
              <w:pStyle w:val="Compact"/>
              <w:jc w:val="left"/>
            </w:pPr>
            <w:r>
              <w:t xml:space="preserve">T. Reyes</w:t>
            </w:r>
          </w:p>
        </w:tc>
        <w:tc>
          <w:p>
            <w:pPr>
              <w:pStyle w:val="Compact"/>
              <w:jc w:val="left"/>
            </w:pPr>
            <w:r>
              <w:t xml:space="preserve">Multi-region architecture rewrite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2024-12</w:t>
            </w:r>
          </w:p>
        </w:tc>
        <w:tc>
          <w:p>
            <w:pPr>
              <w:pStyle w:val="Compact"/>
              <w:jc w:val="left"/>
            </w:pPr>
            <w:r>
              <w:t xml:space="preserve">T. Reyes, M. Tan</w:t>
            </w:r>
          </w:p>
        </w:tc>
        <w:tc>
          <w:p>
            <w:pPr>
              <w:pStyle w:val="Compact"/>
              <w:jc w:val="left"/>
            </w:pPr>
            <w:r>
              <w:t xml:space="preserve">Tier-aligned RTO/RPO; explicit R2 acknowledgment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4.0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2025-12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T. Reyes, M. Tan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Annual review; absorbed April 2025 test lessons (DNS TTL, EKS image cache); added Population Insights P2 procedure detail; explicit out-of-scope for legacy ETL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2026-04-30T19:08:45Z</dcterms:created>
  <dcterms:modified xsi:type="dcterms:W3CDTF">2026-04-30T19:08:45Z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