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a7827afa34a74c0bbb65b114c00867aae1a050"/>
      <w:r>
        <w:t xml:space="preserve">Prior NIST CSF Self-Assessment — 2024 Baseline</w:t>
      </w:r>
      <w:bookmarkEnd w:id="20"/>
    </w:p>
    <w:p>
      <w:pPr>
        <w:pStyle w:val="FirstParagraph"/>
      </w:pPr>
      <w:r>
        <w:rPr>
          <w:b/>
        </w:rPr>
        <w:t xml:space="preserve">Document ID:</w:t>
      </w:r>
      <w:r>
        <w:t xml:space="preserve"> </w:t>
      </w:r>
      <w:r>
        <w:t xml:space="preserve">RPT-CSF-SELFASSESS-2024</w:t>
      </w:r>
      <w:r>
        <w:t xml:space="preserve"> </w:t>
      </w:r>
      <w:r>
        <w:rPr>
          <w:b/>
        </w:rPr>
        <w:t xml:space="preserve">Version:</w:t>
      </w:r>
      <w:r>
        <w:t xml:space="preserve"> </w:t>
      </w:r>
      <w:r>
        <w:t xml:space="preserve">1.0 (final, archived)</w:t>
      </w:r>
      <w:r>
        <w:t xml:space="preserve"> </w:t>
      </w:r>
      <w:r>
        <w:rPr>
          <w:b/>
        </w:rPr>
        <w:t xml:space="preserve">Assessment period:</w:t>
      </w:r>
      <w:r>
        <w:t xml:space="preserve"> </w:t>
      </w:r>
      <w:r>
        <w:t xml:space="preserve">Calendar year 2024 (point-in-time as of December 15, 2024)</w:t>
      </w:r>
      <w:r>
        <w:t xml:space="preserve"> </w:t>
      </w:r>
      <w:r>
        <w:rPr>
          <w:b/>
        </w:rPr>
        <w:t xml:space="preserve">Assessment dates:</w:t>
      </w:r>
      <w:r>
        <w:t xml:space="preserve"> </w:t>
      </w:r>
      <w:r>
        <w:t xml:space="preserve">November 18 – December 15, 2024</w:t>
      </w:r>
      <w:r>
        <w:t xml:space="preserve"> </w:t>
      </w:r>
      <w:r>
        <w:rPr>
          <w:b/>
        </w:rPr>
        <w:t xml:space="preserve">Report issued:</w:t>
      </w:r>
      <w:r>
        <w:t xml:space="preserve"> </w:t>
      </w:r>
      <w:r>
        <w:t xml:space="preserve">January 27, 2025</w:t>
      </w:r>
      <w:r>
        <w:t xml:space="preserve"> </w:t>
      </w:r>
      <w:r>
        <w:rPr>
          <w:b/>
        </w:rPr>
        <w:t xml:space="preserve">Assessment framework:</w:t>
      </w:r>
      <w:r>
        <w:t xml:space="preserve"> </w:t>
      </w:r>
      <w:r>
        <w:t xml:space="preserve">NIST CSF 2.0 (released February 2024; this was the first MCT assessment against 2.0)</w:t>
      </w:r>
      <w:r>
        <w:t xml:space="preserve"> </w:t>
      </w:r>
      <w:r>
        <w:rPr>
          <w:b/>
        </w:rPr>
        <w:t xml:space="preserve">Methodology:</w:t>
      </w:r>
      <w:r>
        <w:t xml:space="preserve"> </w:t>
      </w:r>
      <w:r>
        <w:t xml:space="preserve">Internal self-assessment. Not externally validated. Performed by the GRC team with input from control owners.</w:t>
      </w:r>
      <w:r>
        <w:t xml:space="preserve"> </w:t>
      </w:r>
      <w:r>
        <w:rPr>
          <w:b/>
        </w:rPr>
        <w:t xml:space="preserve">Lead:</w:t>
      </w:r>
      <w:r>
        <w:t xml:space="preserve"> </w:t>
      </w:r>
      <w:r>
        <w:t xml:space="preserve">Jordan Park, GRC Manager</w:t>
      </w:r>
      <w:r>
        <w:t xml:space="preserve"> </w:t>
      </w:r>
      <w:r>
        <w:rPr>
          <w:b/>
        </w:rPr>
        <w:t xml:space="preserve">Reviewed by:</w:t>
      </w:r>
      <w:r>
        <w:t xml:space="preserve"> </w:t>
      </w:r>
      <w:r>
        <w:t xml:space="preserve">Sarah Yoon, CISO</w:t>
      </w:r>
      <w:r>
        <w:t xml:space="preserve"> </w:t>
      </w:r>
      <w:r>
        <w:rPr>
          <w:b/>
        </w:rPr>
        <w:t xml:space="preserve">Approver:</w:t>
      </w:r>
      <w:r>
        <w:t xml:space="preserve"> </w:t>
      </w:r>
      <w:r>
        <w:t xml:space="preserve">Sarah Yoon, CISO; Audit &amp; Risk Committee endorsement at Q1 2025 meeting</w:t>
      </w:r>
      <w:r>
        <w:t xml:space="preserve"> </w:t>
      </w:r>
      <w:r>
        <w:rPr>
          <w:b/>
        </w:rPr>
        <w:t xml:space="preserve">Distribution:</w:t>
      </w:r>
      <w:r>
        <w:t xml:space="preserve"> </w:t>
      </w:r>
      <w:r>
        <w:t xml:space="preserve">Audit &amp; Risk Committee; Steering Committee; HITRUST assessor (Coalfire) for trajectory reference under NDA</w:t>
      </w:r>
      <w:r>
        <w:t xml:space="preserve"> </w:t>
      </w:r>
      <w:r>
        <w:rPr>
          <w:b/>
        </w:rPr>
        <w:t xml:space="preserve">Classification:</w:t>
      </w:r>
      <w:r>
        <w:t xml:space="preserve"> </w:t>
      </w:r>
      <w:r>
        <w:t xml:space="preserve">Internal — Distribution Limited</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report documents the 2024 internal self-assessment of MCT's cybersecurity program against the NIST Cybersecurity Framework 2.0. It serves as the</w:t>
      </w:r>
      <w:r>
        <w:t xml:space="preserve"> </w:t>
      </w:r>
      <w:r>
        <w:rPr>
          <w:b/>
        </w:rPr>
        <w:t xml:space="preserve">baseline trend reference</w:t>
      </w:r>
      <w:r>
        <w:t xml:space="preserve"> </w:t>
      </w:r>
      <w:r>
        <w:t xml:space="preserve">against which the 2026 assessment cycle will be measured. The 2024 assessment was the first time the Company applied CSF 2.0 (the new GOVERN function had been finalized in February 2024).</w:t>
      </w:r>
    </w:p>
    <w:p>
      <w:pPr>
        <w:pStyle w:val="BodyText"/>
      </w:pPr>
      <w:r>
        <w:t xml:space="preserve">The 2024 assessment was performed entirely internally, by the GRC team with control-owner input.</w:t>
      </w:r>
      <w:r>
        <w:t xml:space="preserve"> </w:t>
      </w:r>
      <w:r>
        <w:rPr>
          <w:b/>
        </w:rPr>
        <w:t xml:space="preserve">It was not externally validated.</w:t>
      </w:r>
      <w:r>
        <w:t xml:space="preserve"> </w:t>
      </w:r>
      <w:r>
        <w:t xml:space="preserve">The 2026 assessment cycle is the Company's first attempt at a more structured assessment with external dimensions through the HITRUST validation process and the SOC 2 Type II report.</w:t>
      </w:r>
    </w:p>
    <w:p>
      <w:pPr>
        <w:pStyle w:val="Heading2"/>
      </w:pPr>
      <w:bookmarkStart w:id="22" w:name="Xa6efc141cdcc21bcd61364c2e3e23535a414555"/>
      <w:r>
        <w:t xml:space="preserve">2. Scoring Approach</w:t>
      </w:r>
      <w:bookmarkEnd w:id="22"/>
    </w:p>
    <w:p>
      <w:pPr>
        <w:pStyle w:val="FirstParagraph"/>
      </w:pPr>
      <w:r>
        <w:t xml:space="preserve">The 2024 assessment used a CMMI-style 1–5 scale per subcategory, aggregated to category and function levels: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Maturity descriptor</w:t>
            </w:r>
          </w:p>
        </w:tc>
      </w:tr>
      <w:tr>
        <w:tc>
          <w:p>
            <w:pPr>
              <w:pStyle w:val="Compact"/>
              <w:jc w:val="left"/>
            </w:pPr>
            <w:r>
              <w:t xml:space="preserve">1</w:t>
            </w:r>
          </w:p>
        </w:tc>
        <w:tc>
          <w:p>
            <w:pPr>
              <w:pStyle w:val="Compact"/>
              <w:jc w:val="left"/>
            </w:pPr>
            <w:r>
              <w:t xml:space="preserve">Initial — ad-hoc, undocumented</w:t>
            </w:r>
          </w:p>
        </w:tc>
      </w:tr>
      <w:tr>
        <w:tc>
          <w:p>
            <w:pPr>
              <w:pStyle w:val="Compact"/>
              <w:jc w:val="left"/>
            </w:pPr>
            <w:r>
              <w:t xml:space="preserve">2</w:t>
            </w:r>
          </w:p>
        </w:tc>
        <w:tc>
          <w:p>
            <w:pPr>
              <w:pStyle w:val="Compact"/>
              <w:jc w:val="left"/>
            </w:pPr>
            <w:r>
              <w:t xml:space="preserve">Repeatable — documented, inconsistent execution</w:t>
            </w:r>
          </w:p>
        </w:tc>
      </w:tr>
      <w:tr>
        <w:tc>
          <w:p>
            <w:pPr>
              <w:pStyle w:val="Compact"/>
              <w:jc w:val="left"/>
            </w:pPr>
            <w:r>
              <w:t xml:space="preserve">3</w:t>
            </w:r>
          </w:p>
        </w:tc>
        <w:tc>
          <w:p>
            <w:pPr>
              <w:pStyle w:val="Compact"/>
              <w:jc w:val="left"/>
            </w:pPr>
            <w:r>
              <w:t xml:space="preserve">Defined — documented, consistent execution, measured</w:t>
            </w:r>
          </w:p>
        </w:tc>
      </w:tr>
      <w:tr>
        <w:tc>
          <w:p>
            <w:pPr>
              <w:pStyle w:val="Compact"/>
              <w:jc w:val="left"/>
            </w:pPr>
            <w:r>
              <w:t xml:space="preserve">4</w:t>
            </w:r>
          </w:p>
        </w:tc>
        <w:tc>
          <w:p>
            <w:pPr>
              <w:pStyle w:val="Compact"/>
              <w:jc w:val="left"/>
            </w:pPr>
            <w:r>
              <w:t xml:space="preserve">Managed — measured and continuously improved</w:t>
            </w:r>
          </w:p>
        </w:tc>
      </w:tr>
      <w:tr>
        <w:tc>
          <w:p>
            <w:pPr>
              <w:pStyle w:val="Compact"/>
              <w:jc w:val="left"/>
            </w:pPr>
            <w:r>
              <w:t xml:space="preserve">5</w:t>
            </w:r>
          </w:p>
        </w:tc>
        <w:tc>
          <w:p>
            <w:pPr>
              <w:pStyle w:val="Compact"/>
              <w:jc w:val="left"/>
            </w:pPr>
            <w:r>
              <w:t xml:space="preserve">Optimizing — fully integrated and predictive</w:t>
            </w:r>
          </w:p>
        </w:tc>
      </w:tr>
    </w:tbl>
    <w:p>
      <w:pPr>
        <w:pStyle w:val="BodyText"/>
      </w:pPr>
      <w:r>
        <w:t xml:space="preserve">Scoring was at the subcategory level; category and function scores are arithmetic averages of in-scope subcategories. Out-of-scope subcategories (e.g., GV.SC for direct manufacturing) are not present in MCT's profile.</w:t>
      </w:r>
    </w:p>
    <w:p>
      <w:pPr>
        <w:pStyle w:val="Heading2"/>
      </w:pPr>
      <w:bookmarkStart w:id="23" w:name="X7604c4483854d90b8bbabc2bb79c10ef3ad55e9"/>
      <w:r>
        <w:t xml:space="preserve">3. Aggregate Result</w:t>
      </w:r>
      <w:bookmarkEnd w:id="23"/>
    </w:p>
    <w:p>
      <w:pPr>
        <w:pStyle w:val="FirstParagraph"/>
      </w:pPr>
      <w:r>
        <w:rPr>
          <w:b/>
        </w:rPr>
        <w:t xml:space="preserve">Overall aggregate maturity (2024 baseline): 2.4 (Repeatable — approaching Defined).</w:t>
      </w:r>
    </w:p>
    <w:p>
      <w:pPr>
        <w:pStyle w:val="BodyText"/>
      </w:pPr>
      <w:r>
        <w:t xml:space="preserve">Functional breakdown: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CSF 2.0 Function</w:t>
            </w:r>
          </w:p>
        </w:tc>
        <w:tc>
          <w:tcPr>
            <w:tcBorders>
              <w:bottom w:val="single"/>
            </w:tcBorders>
            <w:vAlign w:val="bottom"/>
          </w:tcPr>
          <w:p>
            <w:pPr>
              <w:pStyle w:val="Compact"/>
              <w:jc w:val="left"/>
            </w:pPr>
            <w:r>
              <w:t xml:space="preserve">2024 score</w:t>
            </w:r>
          </w:p>
        </w:tc>
        <w:tc>
          <w:tcPr>
            <w:tcBorders>
              <w:bottom w:val="single"/>
            </w:tcBorders>
            <w:vAlign w:val="bottom"/>
          </w:tcPr>
          <w:p>
            <w:pPr>
              <w:pStyle w:val="Compact"/>
              <w:jc w:val="left"/>
            </w:pPr>
            <w:r>
              <w:t xml:space="preserve">Notes</w:t>
            </w:r>
          </w:p>
        </w:tc>
      </w:tr>
      <w:tr>
        <w:tc>
          <w:p>
            <w:pPr>
              <w:pStyle w:val="Compact"/>
              <w:jc w:val="left"/>
            </w:pPr>
            <w:r>
              <w:t xml:space="preserve">GOVERN (GV)</w:t>
            </w:r>
          </w:p>
        </w:tc>
        <w:tc>
          <w:p>
            <w:pPr>
              <w:pStyle w:val="Compact"/>
              <w:jc w:val="left"/>
            </w:pPr>
            <w:r>
              <w:t xml:space="preserve">2.5</w:t>
            </w:r>
          </w:p>
        </w:tc>
        <w:tc>
          <w:p>
            <w:pPr>
              <w:pStyle w:val="Compact"/>
              <w:jc w:val="left"/>
            </w:pPr>
            <w:r>
              <w:t xml:space="preserve">Mature in GV.OC (organizational context) and GV.PO (policy); weak in GV.SC (supply chain) and GV.OV (oversight metrics)</w:t>
            </w:r>
          </w:p>
        </w:tc>
      </w:tr>
      <w:tr>
        <w:tc>
          <w:p>
            <w:pPr>
              <w:pStyle w:val="Compact"/>
              <w:jc w:val="left"/>
            </w:pPr>
            <w:r>
              <w:t xml:space="preserve">IDENTIFY (ID)</w:t>
            </w:r>
          </w:p>
        </w:tc>
        <w:tc>
          <w:p>
            <w:pPr>
              <w:pStyle w:val="Compact"/>
              <w:jc w:val="left"/>
            </w:pPr>
            <w:r>
              <w:t xml:space="preserve">2.4</w:t>
            </w:r>
          </w:p>
        </w:tc>
        <w:tc>
          <w:p>
            <w:pPr>
              <w:pStyle w:val="Compact"/>
              <w:jc w:val="left"/>
            </w:pPr>
            <w:r>
              <w:t xml:space="preserve">ID.AM acceptable; ID.RA drags from absence of formal threat-modeling cadence</w:t>
            </w:r>
          </w:p>
        </w:tc>
      </w:tr>
      <w:tr>
        <w:tc>
          <w:p>
            <w:pPr>
              <w:pStyle w:val="Compact"/>
              <w:jc w:val="left"/>
            </w:pPr>
            <w:r>
              <w:t xml:space="preserve">PROTECT (PR)</w:t>
            </w:r>
          </w:p>
        </w:tc>
        <w:tc>
          <w:p>
            <w:pPr>
              <w:pStyle w:val="Compact"/>
              <w:jc w:val="left"/>
            </w:pPr>
            <w:r>
              <w:t xml:space="preserve">2.7</w:t>
            </w:r>
          </w:p>
        </w:tc>
        <w:tc>
          <w:p>
            <w:pPr>
              <w:pStyle w:val="Compact"/>
              <w:jc w:val="left"/>
            </w:pPr>
            <w:r>
              <w:t xml:space="preserve">Strongest function in 2024 — PR.AA, PR.PS, PR.DS, PR.IR all in the 2.5–3.0 range</w:t>
            </w:r>
          </w:p>
        </w:tc>
      </w:tr>
      <w:tr>
        <w:tc>
          <w:p>
            <w:pPr>
              <w:pStyle w:val="Compact"/>
              <w:jc w:val="left"/>
            </w:pPr>
            <w:r>
              <w:t xml:space="preserve">DETECT (DE)</w:t>
            </w:r>
          </w:p>
        </w:tc>
        <w:tc>
          <w:p>
            <w:pPr>
              <w:pStyle w:val="Compact"/>
              <w:jc w:val="left"/>
            </w:pPr>
            <w:r>
              <w:t xml:space="preserve">2.0</w:t>
            </w:r>
          </w:p>
        </w:tc>
        <w:tc>
          <w:p>
            <w:pPr>
              <w:pStyle w:val="Compact"/>
              <w:jc w:val="left"/>
            </w:pPr>
            <w:r>
              <w:t xml:space="preserve">Weak — DE.AE coverage gaps; DE.CM tuning early-stage</w:t>
            </w:r>
          </w:p>
        </w:tc>
      </w:tr>
      <w:tr>
        <w:tc>
          <w:p>
            <w:pPr>
              <w:pStyle w:val="Compact"/>
              <w:jc w:val="left"/>
            </w:pPr>
            <w:r>
              <w:t xml:space="preserve">RESPOND (RS)</w:t>
            </w:r>
          </w:p>
        </w:tc>
        <w:tc>
          <w:p>
            <w:pPr>
              <w:pStyle w:val="Compact"/>
              <w:jc w:val="left"/>
            </w:pPr>
            <w:r>
              <w:t xml:space="preserve">2.5</w:t>
            </w:r>
          </w:p>
        </w:tc>
        <w:tc>
          <w:p>
            <w:pPr>
              <w:pStyle w:val="Compact"/>
              <w:jc w:val="left"/>
            </w:pPr>
            <w:r>
              <w:t xml:space="preserve">Pebble Phish March 2024 exercised RS in production; PIR program operating but not yet quarterly tabletop cadence</w:t>
            </w:r>
          </w:p>
        </w:tc>
      </w:tr>
      <w:tr>
        <w:tc>
          <w:p>
            <w:pPr>
              <w:pStyle w:val="Compact"/>
              <w:jc w:val="left"/>
            </w:pPr>
            <w:r>
              <w:t xml:space="preserve">RECOVER (RC)</w:t>
            </w:r>
          </w:p>
        </w:tc>
        <w:tc>
          <w:p>
            <w:pPr>
              <w:pStyle w:val="Compact"/>
              <w:jc w:val="left"/>
            </w:pPr>
            <w:r>
              <w:t xml:space="preserve">1.9</w:t>
            </w:r>
          </w:p>
        </w:tc>
        <w:tc>
          <w:p>
            <w:pPr>
              <w:pStyle w:val="Compact"/>
              <w:jc w:val="left"/>
            </w:pPr>
            <w:r>
              <w:t xml:space="preserve">Weakest function — RC.RP-01 1.7 driven by recovery testing scope; RC.CO not yet defined</w:t>
            </w:r>
          </w:p>
        </w:tc>
      </w:tr>
    </w:tbl>
    <w:p>
      <w:pPr>
        <w:pStyle w:val="Heading3"/>
      </w:pPr>
      <w:bookmarkStart w:id="24" w:name="X46f12c20c7d54e52ad054767fb21d2212e0dab0"/>
      <w:r>
        <w:t xml:space="preserve">3.1 Subcategory weak spots (1.5–2.0 range)</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Subcategory</w:t>
            </w:r>
          </w:p>
        </w:tc>
        <w:tc>
          <w:tcPr>
            <w:tcBorders>
              <w:bottom w:val="single"/>
            </w:tcBorders>
            <w:vAlign w:val="bottom"/>
          </w:tcPr>
          <w:p>
            <w:pPr>
              <w:pStyle w:val="Compact"/>
              <w:jc w:val="left"/>
            </w:pPr>
            <w:r>
              <w:t xml:space="preserve">2024 score</w:t>
            </w:r>
          </w:p>
        </w:tc>
        <w:tc>
          <w:tcPr>
            <w:tcBorders>
              <w:bottom w:val="single"/>
            </w:tcBorders>
            <w:vAlign w:val="bottom"/>
          </w:tcPr>
          <w:p>
            <w:pPr>
              <w:pStyle w:val="Compact"/>
              <w:jc w:val="left"/>
            </w:pPr>
            <w:r>
              <w:t xml:space="preserve">Why</w:t>
            </w:r>
          </w:p>
        </w:tc>
      </w:tr>
      <w:tr>
        <w:tc>
          <w:p>
            <w:pPr>
              <w:pStyle w:val="Compact"/>
              <w:jc w:val="left"/>
            </w:pPr>
            <w:r>
              <w:t xml:space="preserve">GV.SC-04</w:t>
            </w:r>
          </w:p>
        </w:tc>
        <w:tc>
          <w:p>
            <w:pPr>
              <w:pStyle w:val="Compact"/>
              <w:jc w:val="left"/>
            </w:pPr>
            <w:r>
              <w:t xml:space="preserve">1.8</w:t>
            </w:r>
          </w:p>
        </w:tc>
        <w:tc>
          <w:p>
            <w:pPr>
              <w:pStyle w:val="Compact"/>
              <w:jc w:val="left"/>
            </w:pPr>
            <w:r>
              <w:t xml:space="preserve">Vendor reassessment program centered on annual; no continuous-monitoring feeds</w:t>
            </w:r>
          </w:p>
        </w:tc>
      </w:tr>
      <w:tr>
        <w:tc>
          <w:p>
            <w:pPr>
              <w:pStyle w:val="Compact"/>
              <w:jc w:val="left"/>
            </w:pPr>
            <w:r>
              <w:t xml:space="preserve">GV.SC-05</w:t>
            </w:r>
          </w:p>
        </w:tc>
        <w:tc>
          <w:p>
            <w:pPr>
              <w:pStyle w:val="Compact"/>
              <w:jc w:val="left"/>
            </w:pPr>
            <w:r>
              <w:t xml:space="preserve">1.8</w:t>
            </w:r>
          </w:p>
        </w:tc>
        <w:tc>
          <w:p>
            <w:pPr>
              <w:pStyle w:val="Compact"/>
              <w:jc w:val="left"/>
            </w:pPr>
            <w:r>
              <w:t xml:space="preserve">No formal supplier risk taxonomy beyond Tier-1/2/3; no SLA on reassessment cadence</w:t>
            </w:r>
          </w:p>
        </w:tc>
      </w:tr>
      <w:tr>
        <w:tc>
          <w:p>
            <w:pPr>
              <w:pStyle w:val="Compact"/>
              <w:jc w:val="left"/>
            </w:pPr>
            <w:r>
              <w:t xml:space="preserve">GV.SC-07</w:t>
            </w:r>
          </w:p>
        </w:tc>
        <w:tc>
          <w:p>
            <w:pPr>
              <w:pStyle w:val="Compact"/>
              <w:jc w:val="left"/>
            </w:pPr>
            <w:r>
              <w:t xml:space="preserve">1.7</w:t>
            </w:r>
          </w:p>
        </w:tc>
        <w:tc>
          <w:p>
            <w:pPr>
              <w:pStyle w:val="Compact"/>
              <w:jc w:val="left"/>
            </w:pPr>
            <w:r>
              <w:t xml:space="preserve">Limited continuous monitoring of supplier security posture beyond Vanta-fed Tier-1</w:t>
            </w:r>
          </w:p>
        </w:tc>
      </w:tr>
      <w:tr>
        <w:tc>
          <w:p>
            <w:pPr>
              <w:pStyle w:val="Compact"/>
              <w:jc w:val="left"/>
            </w:pPr>
            <w:r>
              <w:t xml:space="preserve">ID.RA-04</w:t>
            </w:r>
          </w:p>
        </w:tc>
        <w:tc>
          <w:p>
            <w:pPr>
              <w:pStyle w:val="Compact"/>
              <w:jc w:val="left"/>
            </w:pPr>
            <w:r>
              <w:t xml:space="preserve">2.0</w:t>
            </w:r>
          </w:p>
        </w:tc>
        <w:tc>
          <w:p>
            <w:pPr>
              <w:pStyle w:val="Compact"/>
              <w:jc w:val="left"/>
            </w:pPr>
            <w:r>
              <w:t xml:space="preserve">No formal threat-modeling cadence per release</w:t>
            </w:r>
          </w:p>
        </w:tc>
      </w:tr>
      <w:tr>
        <w:tc>
          <w:p>
            <w:pPr>
              <w:pStyle w:val="Compact"/>
              <w:jc w:val="left"/>
            </w:pPr>
            <w:r>
              <w:t xml:space="preserve">DE.AE-02</w:t>
            </w:r>
          </w:p>
        </w:tc>
        <w:tc>
          <w:p>
            <w:pPr>
              <w:pStyle w:val="Compact"/>
              <w:jc w:val="left"/>
            </w:pPr>
            <w:r>
              <w:t xml:space="preserve">2.0</w:t>
            </w:r>
          </w:p>
        </w:tc>
        <w:tc>
          <w:p>
            <w:pPr>
              <w:pStyle w:val="Compact"/>
              <w:jc w:val="left"/>
            </w:pPr>
            <w:r>
              <w:t xml:space="preserve">Composite correlation rules narrow; some scenarios manual</w:t>
            </w:r>
          </w:p>
        </w:tc>
      </w:tr>
      <w:tr>
        <w:tc>
          <w:p>
            <w:pPr>
              <w:pStyle w:val="Compact"/>
              <w:jc w:val="left"/>
            </w:pPr>
            <w:r>
              <w:t xml:space="preserve">DE.AE-06</w:t>
            </w:r>
          </w:p>
        </w:tc>
        <w:tc>
          <w:p>
            <w:pPr>
              <w:pStyle w:val="Compact"/>
              <w:jc w:val="left"/>
            </w:pPr>
            <w:r>
              <w:t xml:space="preserve">1.9</w:t>
            </w:r>
          </w:p>
        </w:tc>
        <w:tc>
          <w:p>
            <w:pPr>
              <w:pStyle w:val="Compact"/>
              <w:jc w:val="left"/>
            </w:pPr>
            <w:r>
              <w:t xml:space="preserve">Snowflake-side detection use cases incomplete</w:t>
            </w:r>
          </w:p>
        </w:tc>
      </w:tr>
      <w:tr>
        <w:tc>
          <w:p>
            <w:pPr>
              <w:pStyle w:val="Compact"/>
              <w:jc w:val="left"/>
            </w:pPr>
            <w:r>
              <w:t xml:space="preserve">DE.CM-09</w:t>
            </w:r>
          </w:p>
        </w:tc>
        <w:tc>
          <w:p>
            <w:pPr>
              <w:pStyle w:val="Compact"/>
              <w:jc w:val="left"/>
            </w:pPr>
            <w:r>
              <w:t xml:space="preserve">2.1</w:t>
            </w:r>
          </w:p>
        </w:tc>
        <w:tc>
          <w:p>
            <w:pPr>
              <w:pStyle w:val="Compact"/>
              <w:jc w:val="left"/>
            </w:pPr>
            <w:r>
              <w:t xml:space="preserve">Endpoint coverage solid; cloud-CM tuning ongoing</w:t>
            </w:r>
          </w:p>
        </w:tc>
      </w:tr>
      <w:tr>
        <w:tc>
          <w:p>
            <w:pPr>
              <w:pStyle w:val="Compact"/>
              <w:jc w:val="left"/>
            </w:pPr>
            <w:r>
              <w:rPr>
                <w:b/>
              </w:rPr>
              <w:t xml:space="preserve">RC.RP-01</w:t>
            </w:r>
          </w:p>
        </w:tc>
        <w:tc>
          <w:p>
            <w:pPr>
              <w:pStyle w:val="Compact"/>
              <w:jc w:val="left"/>
            </w:pPr>
            <w:r>
              <w:rPr>
                <w:b/>
              </w:rPr>
              <w:t xml:space="preserve">1.7</w:t>
            </w:r>
          </w:p>
        </w:tc>
        <w:tc>
          <w:p>
            <w:pPr>
              <w:pStyle w:val="Compact"/>
              <w:jc w:val="left"/>
            </w:pPr>
            <w:r>
              <w:rPr>
                <w:b/>
              </w:rPr>
              <w:t xml:space="preserve">Recovery testing depth — single-service annual scope</w:t>
            </w:r>
          </w:p>
        </w:tc>
      </w:tr>
      <w:tr>
        <w:tc>
          <w:p>
            <w:pPr>
              <w:pStyle w:val="Compact"/>
              <w:jc w:val="left"/>
            </w:pPr>
            <w:r>
              <w:t xml:space="preserve">RC.RP-04</w:t>
            </w:r>
          </w:p>
        </w:tc>
        <w:tc>
          <w:p>
            <w:pPr>
              <w:pStyle w:val="Compact"/>
              <w:jc w:val="left"/>
            </w:pPr>
            <w:r>
              <w:t xml:space="preserve">1.8</w:t>
            </w:r>
          </w:p>
        </w:tc>
        <w:tc>
          <w:p>
            <w:pPr>
              <w:pStyle w:val="Compact"/>
              <w:jc w:val="left"/>
            </w:pPr>
            <w:r>
              <w:t xml:space="preserve">Recovery operations not yet exercised at scale</w:t>
            </w:r>
          </w:p>
        </w:tc>
      </w:tr>
      <w:tr>
        <w:tc>
          <w:p>
            <w:pPr>
              <w:pStyle w:val="Compact"/>
              <w:jc w:val="left"/>
            </w:pPr>
            <w:r>
              <w:t xml:space="preserve">RC.CO-03</w:t>
            </w:r>
          </w:p>
        </w:tc>
        <w:tc>
          <w:p>
            <w:pPr>
              <w:pStyle w:val="Compact"/>
              <w:jc w:val="left"/>
            </w:pPr>
            <w:r>
              <w:t xml:space="preserve">1.6</w:t>
            </w:r>
          </w:p>
        </w:tc>
        <w:tc>
          <w:p>
            <w:pPr>
              <w:pStyle w:val="Compact"/>
              <w:jc w:val="left"/>
            </w:pPr>
            <w:r>
              <w:t xml:space="preserve">Customer recovery communication procedures documented but not exercised</w:t>
            </w:r>
          </w:p>
        </w:tc>
      </w:tr>
      <w:tr>
        <w:tc>
          <w:p>
            <w:pPr>
              <w:pStyle w:val="Compact"/>
              <w:jc w:val="left"/>
            </w:pPr>
            <w:r>
              <w:t xml:space="preserve">RS.MA-04</w:t>
            </w:r>
          </w:p>
        </w:tc>
        <w:tc>
          <w:p>
            <w:pPr>
              <w:pStyle w:val="Compact"/>
              <w:jc w:val="left"/>
            </w:pPr>
            <w:r>
              <w:t xml:space="preserve">2.1</w:t>
            </w:r>
          </w:p>
        </w:tc>
        <w:tc>
          <w:p>
            <w:pPr>
              <w:pStyle w:val="Compact"/>
              <w:jc w:val="left"/>
            </w:pPr>
            <w:r>
              <w:t xml:space="preserve">Some IR runbooks drift</w:t>
            </w:r>
          </w:p>
        </w:tc>
      </w:tr>
    </w:tbl>
    <w:p>
      <w:pPr>
        <w:pStyle w:val="Heading3"/>
      </w:pPr>
      <w:bookmarkStart w:id="25" w:name="X3048bab2b4c57b82cf88a28cc5a8fe4e9be0690"/>
      <w:r>
        <w:t xml:space="preserve">3.2 Subcategory strengths (3.0+ range)</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Subcategory</w:t>
            </w:r>
          </w:p>
        </w:tc>
        <w:tc>
          <w:tcPr>
            <w:tcBorders>
              <w:bottom w:val="single"/>
            </w:tcBorders>
            <w:vAlign w:val="bottom"/>
          </w:tcPr>
          <w:p>
            <w:pPr>
              <w:pStyle w:val="Compact"/>
              <w:jc w:val="left"/>
            </w:pPr>
            <w:r>
              <w:t xml:space="preserve">2024 score</w:t>
            </w:r>
          </w:p>
        </w:tc>
        <w:tc>
          <w:tcPr>
            <w:tcBorders>
              <w:bottom w:val="single"/>
            </w:tcBorders>
            <w:vAlign w:val="bottom"/>
          </w:tcPr>
          <w:p>
            <w:pPr>
              <w:pStyle w:val="Compact"/>
              <w:jc w:val="left"/>
            </w:pPr>
            <w:r>
              <w:t xml:space="preserve">Why</w:t>
            </w:r>
          </w:p>
        </w:tc>
      </w:tr>
      <w:tr>
        <w:tc>
          <w:p>
            <w:pPr>
              <w:pStyle w:val="Compact"/>
              <w:jc w:val="left"/>
            </w:pPr>
            <w:r>
              <w:t xml:space="preserve">GV.PO-01, GV.PO-02</w:t>
            </w:r>
          </w:p>
        </w:tc>
        <w:tc>
          <w:p>
            <w:pPr>
              <w:pStyle w:val="Compact"/>
              <w:jc w:val="left"/>
            </w:pPr>
            <w:r>
              <w:t xml:space="preserve">3.2</w:t>
            </w:r>
          </w:p>
        </w:tc>
        <w:tc>
          <w:p>
            <w:pPr>
              <w:pStyle w:val="Compact"/>
              <w:jc w:val="left"/>
            </w:pPr>
            <w:r>
              <w:t xml:space="preserve">Mature policy hierarchy with annual review</w:t>
            </w:r>
          </w:p>
        </w:tc>
      </w:tr>
      <w:tr>
        <w:tc>
          <w:p>
            <w:pPr>
              <w:pStyle w:val="Compact"/>
              <w:jc w:val="left"/>
            </w:pPr>
            <w:r>
              <w:t xml:space="preserve">GV.RR-02, GV.RR-03</w:t>
            </w:r>
          </w:p>
        </w:tc>
        <w:tc>
          <w:p>
            <w:pPr>
              <w:pStyle w:val="Compact"/>
              <w:jc w:val="left"/>
            </w:pPr>
            <w:r>
              <w:t xml:space="preserve">3.0</w:t>
            </w:r>
          </w:p>
        </w:tc>
        <w:tc>
          <w:p>
            <w:pPr>
              <w:pStyle w:val="Compact"/>
              <w:jc w:val="left"/>
            </w:pPr>
            <w:r>
              <w:t xml:space="preserve">Roles documented; Steering Committee operating</w:t>
            </w:r>
          </w:p>
        </w:tc>
      </w:tr>
      <w:tr>
        <w:tc>
          <w:p>
            <w:pPr>
              <w:pStyle w:val="Compact"/>
              <w:jc w:val="left"/>
            </w:pPr>
            <w:r>
              <w:t xml:space="preserve">PR.AA-01</w:t>
            </w:r>
          </w:p>
        </w:tc>
        <w:tc>
          <w:p>
            <w:pPr>
              <w:pStyle w:val="Compact"/>
              <w:jc w:val="left"/>
            </w:pPr>
            <w:r>
              <w:t xml:space="preserve">3.0</w:t>
            </w:r>
          </w:p>
        </w:tc>
        <w:tc>
          <w:p>
            <w:pPr>
              <w:pStyle w:val="Compact"/>
              <w:jc w:val="left"/>
            </w:pPr>
            <w:r>
              <w:t xml:space="preserve">Okta IDP mature; quarterly access reviews 98% completion</w:t>
            </w:r>
          </w:p>
        </w:tc>
      </w:tr>
      <w:tr>
        <w:tc>
          <w:p>
            <w:pPr>
              <w:pStyle w:val="Compact"/>
              <w:jc w:val="left"/>
            </w:pPr>
            <w:r>
              <w:t xml:space="preserve">PR.AA-04</w:t>
            </w:r>
          </w:p>
        </w:tc>
        <w:tc>
          <w:p>
            <w:pPr>
              <w:pStyle w:val="Compact"/>
              <w:jc w:val="left"/>
            </w:pPr>
            <w:r>
              <w:t xml:space="preserve">3.0</w:t>
            </w:r>
          </w:p>
        </w:tc>
        <w:tc>
          <w:p>
            <w:pPr>
              <w:pStyle w:val="Compact"/>
              <w:jc w:val="left"/>
            </w:pPr>
            <w:r>
              <w:t xml:space="preserve">MFA universal for human accounts; FIDO2 phased rollout in flight</w:t>
            </w:r>
          </w:p>
        </w:tc>
      </w:tr>
      <w:tr>
        <w:tc>
          <w:p>
            <w:pPr>
              <w:pStyle w:val="Compact"/>
              <w:jc w:val="left"/>
            </w:pPr>
            <w:r>
              <w:t xml:space="preserve">PR.PS-04</w:t>
            </w:r>
          </w:p>
        </w:tc>
        <w:tc>
          <w:p>
            <w:pPr>
              <w:pStyle w:val="Compact"/>
              <w:jc w:val="left"/>
            </w:pPr>
            <w:r>
              <w:t xml:space="preserve">3.1</w:t>
            </w:r>
          </w:p>
        </w:tc>
        <w:tc>
          <w:p>
            <w:pPr>
              <w:pStyle w:val="Compact"/>
              <w:jc w:val="left"/>
            </w:pPr>
            <w:r>
              <w:t xml:space="preserve">Vulnerability scanning mature (Wiz, Snyk, GHAS)</w:t>
            </w:r>
          </w:p>
        </w:tc>
      </w:tr>
      <w:tr>
        <w:tc>
          <w:p>
            <w:pPr>
              <w:pStyle w:val="Compact"/>
              <w:jc w:val="left"/>
            </w:pPr>
            <w:r>
              <w:t xml:space="preserve">PR.IR-01</w:t>
            </w:r>
          </w:p>
        </w:tc>
        <w:tc>
          <w:p>
            <w:pPr>
              <w:pStyle w:val="Compact"/>
              <w:jc w:val="left"/>
            </w:pPr>
            <w:r>
              <w:t xml:space="preserve">3.0</w:t>
            </w:r>
          </w:p>
        </w:tc>
        <w:tc>
          <w:p>
            <w:pPr>
              <w:pStyle w:val="Compact"/>
              <w:jc w:val="left"/>
            </w:pPr>
            <w:r>
              <w:t xml:space="preserve">AWS network architecture mature</w:t>
            </w:r>
          </w:p>
        </w:tc>
      </w:tr>
      <w:tr>
        <w:tc>
          <w:p>
            <w:pPr>
              <w:pStyle w:val="Compact"/>
              <w:jc w:val="left"/>
            </w:pPr>
            <w:r>
              <w:t xml:space="preserve">RS.CO-02</w:t>
            </w:r>
          </w:p>
        </w:tc>
        <w:tc>
          <w:p>
            <w:pPr>
              <w:pStyle w:val="Compact"/>
              <w:jc w:val="left"/>
            </w:pPr>
            <w:r>
              <w:t xml:space="preserve">3.0</w:t>
            </w:r>
          </w:p>
        </w:tc>
        <w:tc>
          <w:p>
            <w:pPr>
              <w:pStyle w:val="Compact"/>
              <w:jc w:val="left"/>
            </w:pPr>
            <w:r>
              <w:t xml:space="preserve">Pebble Phish demonstrated effective stakeholder communication</w:t>
            </w:r>
          </w:p>
        </w:tc>
      </w:tr>
    </w:tbl>
    <w:p>
      <w:pPr>
        <w:pStyle w:val="Heading2"/>
      </w:pPr>
      <w:bookmarkStart w:id="26" w:name="Xd3ad7a023d8b23db160b736fc1a58d26b96b4a5"/>
      <w:r>
        <w:t xml:space="preserve">4. 2024 Trajectory and Commitments</w:t>
      </w:r>
      <w:bookmarkEnd w:id="26"/>
    </w:p>
    <w:p>
      <w:pPr>
        <w:pStyle w:val="FirstParagraph"/>
      </w:pPr>
      <w:r>
        <w:t xml:space="preserve">The 2024 self-assessment surfaced the same triad that the 2026 assessment is expected to confirm as residual weaknesses:</w:t>
      </w:r>
      <w:r>
        <w:t xml:space="preserve"> </w:t>
      </w:r>
      <w:r>
        <w:rPr>
          <w:b/>
        </w:rPr>
        <w:t xml:space="preserve">GV.SC, DE, and RC</w:t>
      </w:r>
      <w:r>
        <w:t xml:space="preserve">. The Company committed at the time to a multi-year program to address these: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Weak area</w:t>
            </w:r>
          </w:p>
        </w:tc>
        <w:tc>
          <w:tcPr>
            <w:tcBorders>
              <w:bottom w:val="single"/>
            </w:tcBorders>
            <w:vAlign w:val="bottom"/>
          </w:tcPr>
          <w:p>
            <w:pPr>
              <w:pStyle w:val="Compact"/>
              <w:jc w:val="left"/>
            </w:pPr>
            <w:r>
              <w:t xml:space="preserve">2024 commitment</w:t>
            </w:r>
          </w:p>
        </w:tc>
        <w:tc>
          <w:tcPr>
            <w:tcBorders>
              <w:bottom w:val="single"/>
            </w:tcBorders>
            <w:vAlign w:val="bottom"/>
          </w:tcPr>
          <w:p>
            <w:pPr>
              <w:pStyle w:val="Compact"/>
              <w:jc w:val="left"/>
            </w:pPr>
            <w:r>
              <w:t xml:space="preserve">2025–2026 progress</w:t>
            </w:r>
          </w:p>
        </w:tc>
      </w:tr>
      <w:tr>
        <w:tc>
          <w:p>
            <w:pPr>
              <w:pStyle w:val="Compact"/>
              <w:jc w:val="left"/>
            </w:pPr>
            <w:r>
              <w:t xml:space="preserve">GV.SC</w:t>
            </w:r>
          </w:p>
        </w:tc>
        <w:tc>
          <w:p>
            <w:pPr>
              <w:pStyle w:val="Compact"/>
              <w:jc w:val="left"/>
            </w:pPr>
            <w:r>
              <w:t xml:space="preserve">Redesign vendor program with continuous-monitoring expectations; expand Vanta feeds</w:t>
            </w:r>
          </w:p>
        </w:tc>
        <w:tc>
          <w:p>
            <w:pPr>
              <w:pStyle w:val="Compact"/>
              <w:jc w:val="left"/>
            </w:pPr>
            <w:r>
              <w:t xml:space="preserve">Vanta Tier-1 feeds expanded 2025; Tier-2 expansion FY26 (R1 funded)</w:t>
            </w:r>
          </w:p>
        </w:tc>
      </w:tr>
      <w:tr>
        <w:tc>
          <w:p>
            <w:pPr>
              <w:pStyle w:val="Compact"/>
              <w:jc w:val="left"/>
            </w:pPr>
            <w:r>
              <w:t xml:space="preserve">ID.RA-04</w:t>
            </w:r>
          </w:p>
        </w:tc>
        <w:tc>
          <w:p>
            <w:pPr>
              <w:pStyle w:val="Compact"/>
              <w:jc w:val="left"/>
            </w:pPr>
            <w:r>
              <w:t xml:space="preserve">Introduce quarterly threat-modeling forum</w:t>
            </w:r>
          </w:p>
        </w:tc>
        <w:tc>
          <w:p>
            <w:pPr>
              <w:pStyle w:val="Compact"/>
              <w:jc w:val="left"/>
            </w:pPr>
            <w:r>
              <w:t xml:space="preserve">Forum charter drafted Q4 2025; first session Q1 2026</w:t>
            </w:r>
          </w:p>
        </w:tc>
      </w:tr>
      <w:tr>
        <w:tc>
          <w:p>
            <w:pPr>
              <w:pStyle w:val="Compact"/>
              <w:jc w:val="left"/>
            </w:pPr>
            <w:r>
              <w:t xml:space="preserve">DE.AE / DE.CM</w:t>
            </w:r>
          </w:p>
        </w:tc>
        <w:tc>
          <w:p>
            <w:pPr>
              <w:pStyle w:val="Compact"/>
              <w:jc w:val="left"/>
            </w:pPr>
            <w:r>
              <w:t xml:space="preserve">Alert tuning sprint; expand DE.AE coverage</w:t>
            </w:r>
          </w:p>
        </w:tc>
        <w:tc>
          <w:p>
            <w:pPr>
              <w:pStyle w:val="Compact"/>
              <w:jc w:val="left"/>
            </w:pPr>
            <w:r>
              <w:t xml:space="preserve">Q1 2026 dedicated sprint funded (R3)</w:t>
            </w:r>
          </w:p>
        </w:tc>
      </w:tr>
      <w:tr>
        <w:tc>
          <w:p>
            <w:pPr>
              <w:pStyle w:val="Compact"/>
              <w:jc w:val="left"/>
            </w:pPr>
            <w:r>
              <w:t xml:space="preserve">RC.RP-01</w:t>
            </w:r>
          </w:p>
        </w:tc>
        <w:tc>
          <w:p>
            <w:pPr>
              <w:pStyle w:val="Compact"/>
              <w:jc w:val="left"/>
            </w:pPr>
            <w:r>
              <w:t xml:space="preserve">Add recovery test scope and cadence</w:t>
            </w:r>
          </w:p>
        </w:tc>
        <w:tc>
          <w:p>
            <w:pPr>
              <w:pStyle w:val="Compact"/>
              <w:jc w:val="left"/>
            </w:pPr>
            <w:r>
              <w:t xml:space="preserve">April 2025 ToC test executed (RPT-Recovery-Test-Results-2025); FY26 adds 1 additional + 2 tabletops (R2)</w:t>
            </w:r>
          </w:p>
        </w:tc>
      </w:tr>
      <w:tr>
        <w:tc>
          <w:p>
            <w:pPr>
              <w:pStyle w:val="Compact"/>
              <w:jc w:val="left"/>
            </w:pPr>
            <w:r>
              <w:t xml:space="preserve">RS.MA-04</w:t>
            </w:r>
          </w:p>
        </w:tc>
        <w:tc>
          <w:p>
            <w:pPr>
              <w:pStyle w:val="Compact"/>
              <w:jc w:val="left"/>
            </w:pPr>
            <w:r>
              <w:t xml:space="preserve">Quarterly IR tabletop cadence</w:t>
            </w:r>
          </w:p>
        </w:tc>
        <w:tc>
          <w:p>
            <w:pPr>
              <w:pStyle w:val="Compact"/>
              <w:jc w:val="left"/>
            </w:pPr>
            <w:r>
              <w:t xml:space="preserve">Achieved 2025 — 4 tabletops</w:t>
            </w:r>
          </w:p>
        </w:tc>
      </w:tr>
    </w:tbl>
    <w:p>
      <w:pPr>
        <w:pStyle w:val="Heading2"/>
      </w:pPr>
      <w:bookmarkStart w:id="27" w:name="X0a623583ecc4efc8c91e3c394a42704f468f75d"/>
      <w:r>
        <w:t xml:space="preserve">5. Limitations of the 2024 Self-Assessment</w:t>
      </w:r>
      <w:bookmarkEnd w:id="27"/>
    </w:p>
    <w:p>
      <w:pPr>
        <w:pStyle w:val="FirstParagraph"/>
      </w:pPr>
      <w:r>
        <w:t xml:space="preserve">This assessment was internally performed without independent validation. Acknowledged limitations:</w:t>
      </w:r>
    </w:p>
    <w:p>
      <w:pPr>
        <w:numPr>
          <w:ilvl w:val="0"/>
          <w:numId w:val="1001"/>
        </w:numPr>
        <w:pStyle w:val="Compact"/>
      </w:pPr>
      <w:r>
        <w:rPr>
          <w:b/>
        </w:rPr>
        <w:t xml:space="preserve">Self-scoring bias.</w:t>
      </w:r>
      <w:r>
        <w:t xml:space="preserve"> </w:t>
      </w:r>
      <w:r>
        <w:t xml:space="preserve">Internal scoring may overstate maturity. The 2026 cycle will be cross-referenced against external inputs (SOC 2 Type II, HITRUST validated assessment when complete, internal audit findings).</w:t>
      </w:r>
    </w:p>
    <w:p>
      <w:pPr>
        <w:numPr>
          <w:ilvl w:val="0"/>
          <w:numId w:val="1001"/>
        </w:numPr>
        <w:pStyle w:val="Compact"/>
      </w:pPr>
      <w:r>
        <w:rPr>
          <w:b/>
        </w:rPr>
        <w:t xml:space="preserve">Subjective interpretation of CSF 2.0 subcategory text.</w:t>
      </w:r>
      <w:r>
        <w:t xml:space="preserve"> </w:t>
      </w:r>
      <w:r>
        <w:t xml:space="preserve">Where multiple reasonable interpretations existed, the GRC team documented the chosen interpretation in the assessment workpaper.</w:t>
      </w:r>
    </w:p>
    <w:p>
      <w:pPr>
        <w:numPr>
          <w:ilvl w:val="0"/>
          <w:numId w:val="1001"/>
        </w:numPr>
        <w:pStyle w:val="Compact"/>
      </w:pPr>
      <w:r>
        <w:rPr>
          <w:b/>
        </w:rPr>
        <w:t xml:space="preserve">Evidence sampling.</w:t>
      </w:r>
      <w:r>
        <w:t xml:space="preserve"> </w:t>
      </w:r>
      <w:r>
        <w:t xml:space="preserve">Sampling depth was limited by GRC capacity at the time (3 FTE in GRC role; the GRC Manager performed the assessment with input from other staff).</w:t>
      </w:r>
    </w:p>
    <w:p>
      <w:pPr>
        <w:numPr>
          <w:ilvl w:val="0"/>
          <w:numId w:val="1001"/>
        </w:numPr>
        <w:pStyle w:val="Compact"/>
      </w:pPr>
      <w:r>
        <w:rPr>
          <w:b/>
        </w:rPr>
        <w:t xml:space="preserve">CSF 2.0 was new.</w:t>
      </w:r>
      <w:r>
        <w:t xml:space="preserve"> </w:t>
      </w:r>
      <w:r>
        <w:t xml:space="preserve">This was the first cycle with the GOVERN function as a separate scoring construct. Some category interpretations were refined for the 2026 cycle.</w:t>
      </w:r>
    </w:p>
    <w:p>
      <w:pPr>
        <w:pStyle w:val="Heading2"/>
      </w:pPr>
      <w:bookmarkStart w:id="28" w:name="X36b62c70025d87c677a831b7d2adb78dd96d3b9"/>
      <w:r>
        <w:t xml:space="preserve">6. Trajectory to 2026</w:t>
      </w:r>
      <w:bookmarkEnd w:id="28"/>
    </w:p>
    <w:p>
      <w:pPr>
        <w:pStyle w:val="FirstParagraph"/>
      </w:pPr>
      <w:r>
        <w:t xml:space="preserve">The 2024 baseline of 2.4 aggregate, with weaker GV.SC (~1.8), RC.RP (~1.7), and DE (~2.0), establishes the trajectory against which the 2026 cycle should be measured. The 2026 target aggregate (working assumption based on the FY25–FY26 program) is approximately</w:t>
      </w:r>
      <w:r>
        <w:t xml:space="preserve"> </w:t>
      </w:r>
      <w:r>
        <w:rPr>
          <w:b/>
        </w:rPr>
        <w:t xml:space="preserve">2.65</w:t>
      </w:r>
      <w:r>
        <w:t xml:space="preserve">, with continued deliberate weakness in:</w:t>
      </w:r>
    </w:p>
    <w:p>
      <w:pPr>
        <w:numPr>
          <w:ilvl w:val="0"/>
          <w:numId w:val="1002"/>
        </w:numPr>
        <w:pStyle w:val="Compact"/>
      </w:pPr>
      <w:r>
        <w:rPr>
          <w:b/>
        </w:rPr>
        <w:t xml:space="preserve">RC (~2.05)</w:t>
      </w:r>
      <w:r>
        <w:t xml:space="preserve"> </w:t>
      </w:r>
      <w:r>
        <w:t xml:space="preserve">— recovery testing depth remains below program aspiration; FY26 / FY27 are the path forward (R2; R6).</w:t>
      </w:r>
    </w:p>
    <w:p>
      <w:pPr>
        <w:numPr>
          <w:ilvl w:val="0"/>
          <w:numId w:val="1002"/>
        </w:numPr>
        <w:pStyle w:val="Compact"/>
      </w:pPr>
      <w:r>
        <w:rPr>
          <w:b/>
        </w:rPr>
        <w:t xml:space="preserve">RS (~2.70)</w:t>
      </w:r>
      <w:r>
        <w:t xml:space="preserve"> </w:t>
      </w:r>
      <w:r>
        <w:t xml:space="preserve">— incident response is mature in the after-action sense (Pebble Phish was handled well; quarterly tabletops operating) but maturity in sub-areas (RS.MA runbook hygiene; RS.AN forensic depth) is uneven.</w:t>
      </w:r>
    </w:p>
    <w:p>
      <w:pPr>
        <w:numPr>
          <w:ilvl w:val="0"/>
          <w:numId w:val="1002"/>
        </w:numPr>
        <w:pStyle w:val="Compact"/>
      </w:pPr>
      <w:r>
        <w:rPr>
          <w:b/>
        </w:rPr>
        <w:t xml:space="preserve">GV.SC</w:t>
      </w:r>
      <w:r>
        <w:t xml:space="preserve"> </w:t>
      </w:r>
      <w:r>
        <w:t xml:space="preserve">— supplier continuous monitoring is funded for FY26 but not yet at target (R1).</w:t>
      </w:r>
    </w:p>
    <w:p>
      <w:pPr>
        <w:numPr>
          <w:ilvl w:val="0"/>
          <w:numId w:val="1002"/>
        </w:numPr>
        <w:pStyle w:val="Compact"/>
      </w:pPr>
      <w:r>
        <w:rPr>
          <w:b/>
        </w:rPr>
        <w:t xml:space="preserve">DE.AE / DE.CM</w:t>
      </w:r>
      <w:r>
        <w:t xml:space="preserve"> </w:t>
      </w:r>
      <w:r>
        <w:t xml:space="preserve">— Q1 2026 alert-tuning sprint will improve scores but not to peer-leading by mid-2026 (R3).</w:t>
      </w:r>
    </w:p>
    <w:p>
      <w:pPr>
        <w:pStyle w:val="FirstParagraph"/>
      </w:pPr>
      <w:r>
        <w:t xml:space="preserve">The trajectory is</w:t>
      </w:r>
      <w:r>
        <w:t xml:space="preserve"> </w:t>
      </w:r>
      <w:r>
        <w:rPr>
          <w:b/>
        </w:rPr>
        <w:t xml:space="preserve">honestly upward</w:t>
      </w:r>
      <w:r>
        <w:t xml:space="preserve"> </w:t>
      </w:r>
      <w:r>
        <w:t xml:space="preserve">in most dimensions, with explicit, board-acknowledged trailing edges that are tracked in the cyber risk register and funded for FY26.</w:t>
      </w:r>
    </w:p>
    <w:p>
      <w:pPr>
        <w:pStyle w:val="Heading2"/>
      </w:pPr>
      <w:bookmarkStart w:id="29" w:name="X49ee2ce8e68afadfee2f45d7192720b571b005c"/>
      <w:r>
        <w:t xml:space="preserve">7. Sign-Off</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Date</w:t>
            </w:r>
          </w:p>
        </w:tc>
      </w:tr>
      <w:tr>
        <w:tc>
          <w:p>
            <w:pPr>
              <w:pStyle w:val="Compact"/>
              <w:jc w:val="left"/>
            </w:pPr>
            <w:r>
              <w:t xml:space="preserve">Lead assessor</w:t>
            </w:r>
          </w:p>
        </w:tc>
        <w:tc>
          <w:p>
            <w:pPr>
              <w:pStyle w:val="Compact"/>
              <w:jc w:val="left"/>
            </w:pPr>
            <w:r>
              <w:t xml:space="preserve">Jordan Park, GRC Manager</w:t>
            </w:r>
          </w:p>
        </w:tc>
        <w:tc>
          <w:p>
            <w:pPr>
              <w:pStyle w:val="Compact"/>
              <w:jc w:val="left"/>
            </w:pPr>
            <w:r>
              <w:t xml:space="preserve">2025-01-27</w:t>
            </w:r>
          </w:p>
        </w:tc>
      </w:tr>
      <w:tr>
        <w:tc>
          <w:p>
            <w:pPr>
              <w:pStyle w:val="Compact"/>
              <w:jc w:val="left"/>
            </w:pPr>
            <w:r>
              <w:t xml:space="preserve">CISO</w:t>
            </w:r>
          </w:p>
        </w:tc>
        <w:tc>
          <w:p>
            <w:pPr>
              <w:pStyle w:val="Compact"/>
              <w:jc w:val="left"/>
            </w:pPr>
            <w:r>
              <w:t xml:space="preserve">Sarah Yoon</w:t>
            </w:r>
          </w:p>
        </w:tc>
        <w:tc>
          <w:p>
            <w:pPr>
              <w:pStyle w:val="Compact"/>
              <w:jc w:val="left"/>
            </w:pPr>
            <w:r>
              <w:t xml:space="preserve">2025-01-27</w:t>
            </w:r>
          </w:p>
        </w:tc>
      </w:tr>
      <w:tr>
        <w:tc>
          <w:p>
            <w:pPr>
              <w:pStyle w:val="Compact"/>
              <w:jc w:val="left"/>
            </w:pPr>
            <w:r>
              <w:t xml:space="preserve">Audit &amp; Risk Committee endorsement</w:t>
            </w:r>
          </w:p>
        </w:tc>
        <w:tc>
          <w:p>
            <w:pPr>
              <w:pStyle w:val="Compact"/>
              <w:jc w:val="left"/>
            </w:pPr>
            <w:r>
              <w:t xml:space="preserve">Chair: K. Chen</w:t>
            </w:r>
          </w:p>
        </w:tc>
        <w:tc>
          <w:p>
            <w:pPr>
              <w:pStyle w:val="Compact"/>
              <w:jc w:val="left"/>
            </w:pPr>
            <w:r>
              <w:t xml:space="preserve">2025-02-12 (Q1 meeting)</w:t>
            </w:r>
          </w:p>
        </w:tc>
      </w:tr>
    </w:tbl>
    <w:p>
      <w:pPr>
        <w:pStyle w:val="Heading2"/>
      </w:pPr>
      <w:bookmarkStart w:id="30" w:name="X0b10ebbba4b6c5bdc29223c18db5d17ce2eb7dc"/>
      <w:r>
        <w:t xml:space="preserve">8. Linked Documents</w:t>
      </w:r>
      <w:bookmarkEnd w:id="30"/>
    </w:p>
    <w:p>
      <w:pPr>
        <w:numPr>
          <w:ilvl w:val="0"/>
          <w:numId w:val="1003"/>
        </w:numPr>
        <w:pStyle w:val="Compact"/>
      </w:pPr>
      <w:r>
        <w:t xml:space="preserve">POL-001 Information Security Policy</w:t>
      </w:r>
    </w:p>
    <w:p>
      <w:pPr>
        <w:numPr>
          <w:ilvl w:val="0"/>
          <w:numId w:val="1003"/>
        </w:numPr>
        <w:pStyle w:val="Compact"/>
      </w:pPr>
      <w:r>
        <w:t xml:space="preserve">RISK-Cyber-Risk-Register</w:t>
      </w:r>
    </w:p>
    <w:p>
      <w:pPr>
        <w:numPr>
          <w:ilvl w:val="0"/>
          <w:numId w:val="1003"/>
        </w:numPr>
        <w:pStyle w:val="Compact"/>
      </w:pPr>
      <w:r>
        <w:t xml:space="preserve">RPT-Internal-Audit-Cybersecurity-2025</w:t>
      </w:r>
    </w:p>
    <w:p>
      <w:pPr>
        <w:numPr>
          <w:ilvl w:val="0"/>
          <w:numId w:val="1003"/>
        </w:numPr>
        <w:pStyle w:val="Compact"/>
      </w:pPr>
      <w:r>
        <w:t xml:space="preserve">RPT-Recovery-Test-Results-2025</w:t>
      </w:r>
    </w:p>
    <w:p>
      <w:pPr>
        <w:numPr>
          <w:ilvl w:val="0"/>
          <w:numId w:val="1003"/>
        </w:numPr>
        <w:pStyle w:val="Compact"/>
      </w:pPr>
      <w:r>
        <w:t xml:space="preserve">RPT-IR-Tabletop-Q4-2025</w:t>
      </w:r>
    </w:p>
    <w:p>
      <w:pPr>
        <w:numPr>
          <w:ilvl w:val="0"/>
          <w:numId w:val="1003"/>
        </w:numPr>
        <w:pStyle w:val="Compact"/>
      </w:pPr>
      <w:r>
        <w:t xml:space="preserve">LOG-Incident-Case-File-Pebble-Phish-2024-03</w:t>
      </w:r>
    </w:p>
    <w:p>
      <w:pPr>
        <w:pStyle w:val="Heading2"/>
      </w:pPr>
      <w:bookmarkStart w:id="31" w:name="X13d1074de16f11e4001e7f0f39e54b30695dff4"/>
      <w:r>
        <w:t xml:space="preserve">9. Document Control</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0.5</w:t>
            </w:r>
          </w:p>
        </w:tc>
        <w:tc>
          <w:p>
            <w:pPr>
              <w:pStyle w:val="Compact"/>
              <w:jc w:val="left"/>
            </w:pPr>
            <w:r>
              <w:t xml:space="preserve">2025-01-08</w:t>
            </w:r>
          </w:p>
        </w:tc>
        <w:tc>
          <w:p>
            <w:pPr>
              <w:pStyle w:val="Compact"/>
              <w:jc w:val="left"/>
            </w:pPr>
            <w:r>
              <w:t xml:space="preserve">J. Park</w:t>
            </w:r>
          </w:p>
        </w:tc>
        <w:tc>
          <w:p>
            <w:pPr>
              <w:pStyle w:val="Compact"/>
              <w:jc w:val="left"/>
            </w:pPr>
            <w:r>
              <w:t xml:space="preserve">Draft scoring sheet</w:t>
            </w:r>
          </w:p>
        </w:tc>
      </w:tr>
      <w:tr>
        <w:tc>
          <w:p>
            <w:pPr>
              <w:pStyle w:val="Compact"/>
              <w:jc w:val="left"/>
            </w:pPr>
            <w:r>
              <w:t xml:space="preserve">0.9</w:t>
            </w:r>
          </w:p>
        </w:tc>
        <w:tc>
          <w:p>
            <w:pPr>
              <w:pStyle w:val="Compact"/>
              <w:jc w:val="left"/>
            </w:pPr>
            <w:r>
              <w:t xml:space="preserve">2025-01-20</w:t>
            </w:r>
          </w:p>
        </w:tc>
        <w:tc>
          <w:p>
            <w:pPr>
              <w:pStyle w:val="Compact"/>
              <w:jc w:val="left"/>
            </w:pPr>
            <w:r>
              <w:t xml:space="preserve">J. Park</w:t>
            </w:r>
          </w:p>
        </w:tc>
        <w:tc>
          <w:p>
            <w:pPr>
              <w:pStyle w:val="Compact"/>
              <w:jc w:val="left"/>
            </w:pPr>
            <w:r>
              <w:t xml:space="preserve">Control-owner review incorporated</w:t>
            </w:r>
          </w:p>
        </w:tc>
      </w:tr>
      <w:tr>
        <w:tc>
          <w:p>
            <w:pPr>
              <w:pStyle w:val="Compact"/>
              <w:jc w:val="left"/>
            </w:pPr>
            <w:r>
              <w:rPr>
                <w:b/>
              </w:rPr>
              <w:t xml:space="preserve">1.0</w:t>
            </w:r>
          </w:p>
        </w:tc>
        <w:tc>
          <w:p>
            <w:pPr>
              <w:pStyle w:val="Compact"/>
              <w:jc w:val="left"/>
            </w:pPr>
            <w:r>
              <w:rPr>
                <w:b/>
              </w:rPr>
              <w:t xml:space="preserve">2025-01-27</w:t>
            </w:r>
          </w:p>
        </w:tc>
        <w:tc>
          <w:p>
            <w:pPr>
              <w:pStyle w:val="Compact"/>
              <w:jc w:val="left"/>
            </w:pPr>
            <w:r>
              <w:rPr>
                <w:b/>
              </w:rPr>
              <w:t xml:space="preserve">J. Park</w:t>
            </w:r>
          </w:p>
        </w:tc>
        <w:tc>
          <w:p>
            <w:pPr>
              <w:pStyle w:val="Compact"/>
              <w:jc w:val="left"/>
            </w:pPr>
            <w:r>
              <w:rPr>
                <w:b/>
              </w:rPr>
              <w:t xml:space="preserve">Final issue; baseline archived for trajectory reference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2026-04-30T19:08:45Z</dcterms:created>
  <dcterms:modified xsi:type="dcterms:W3CDTF">2026-04-30T19:08:45Z</dcterms:modified>
</cp:coreProperties>
</file>

<file path=docProps/custom.xml><?xml version="1.0" encoding="utf-8"?>
<Properties xmlns="http://schemas.openxmlformats.org/officeDocument/2006/custom-properties" xmlns:vt="http://schemas.openxmlformats.org/officeDocument/2006/docPropsVTypes"/>
</file>