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681f571c5ef5783676f5dd88349faf24d9a0dd"/>
      <w:r>
        <w:t xml:space="preserve">SOC 2 Type II Report — Excerpt (Executive Summary)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RPT-SOC2-2025-EXCERPT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Source report:</w:t>
      </w:r>
      <w:r>
        <w:t xml:space="preserve"> </w:t>
      </w:r>
      <w:r>
        <w:t xml:space="preserve">Schellman &amp; Co., LLC — Independent Service Auditor's Report on Meridian Care Technologies, Inc.'s MeridianCare Platform — SOC 2 Type II</w:t>
      </w:r>
      <w:r>
        <w:t xml:space="preserve"> </w:t>
      </w:r>
      <w:r>
        <w:rPr>
          <w:b/>
        </w:rPr>
        <w:t xml:space="preserve">Source report date:</w:t>
      </w:r>
      <w:r>
        <w:t xml:space="preserve"> </w:t>
      </w:r>
      <w:r>
        <w:t xml:space="preserve">February 14, 2026</w:t>
      </w:r>
      <w:r>
        <w:t xml:space="preserve"> </w:t>
      </w:r>
      <w:r>
        <w:rPr>
          <w:b/>
        </w:rPr>
        <w:t xml:space="preserve">Excerpt prepared by:</w:t>
      </w:r>
      <w:r>
        <w:t xml:space="preserve"> </w:t>
      </w:r>
      <w:r>
        <w:t xml:space="preserve">Jordan Park, GRC Manager</w:t>
      </w:r>
      <w:r>
        <w:t xml:space="preserve"> </w:t>
      </w:r>
      <w:r>
        <w:rPr>
          <w:b/>
        </w:rPr>
        <w:t xml:space="preserve">Excerpt date:</w:t>
      </w:r>
      <w:r>
        <w:t xml:space="preserve"> </w:t>
      </w:r>
      <w:r>
        <w:t xml:space="preserve">February 18, 2026</w:t>
      </w:r>
      <w:r>
        <w:t xml:space="preserve"> </w:t>
      </w:r>
      <w:r>
        <w:rPr>
          <w:b/>
        </w:rPr>
        <w:t xml:space="preserve">Reviewed by:</w:t>
      </w:r>
      <w:r>
        <w:t xml:space="preserve"> </w:t>
      </w:r>
      <w:r>
        <w:t xml:space="preserve">Sarah Yoon, CISO; Marcus Holbrook, GC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Audit &amp; Risk Committee; sales/customer success on customer due-diligence requests under NDA; HITRUST assessor (Coalfire) under NDA</w:t>
      </w:r>
      <w:r>
        <w:t xml:space="preserve"> </w:t>
      </w:r>
      <w:r>
        <w:rPr>
          <w:b/>
        </w:rPr>
        <w:t xml:space="preserve">Classification:</w:t>
      </w:r>
      <w:r>
        <w:t xml:space="preserve"> </w:t>
      </w:r>
      <w:r>
        <w:t xml:space="preserve">Internal — Distribution Limited until customer-facing release. The full SOC 2 report is available to customers under NDA via the Trust Center.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56b8b8b9ca33989311a8f9fc9c3011cde1e908"/>
      <w:r>
        <w:t xml:space="preserve">1. Purpose of This Excerpt</w:t>
      </w:r>
      <w:bookmarkEnd w:id="21"/>
    </w:p>
    <w:p>
      <w:pPr>
        <w:pStyle w:val="FirstParagraph"/>
      </w:pPr>
      <w:r>
        <w:t xml:space="preserve">The full SOC 2 Type II report is approximately 90 pages. This excerpt summarizes the</w:t>
      </w:r>
      <w:r>
        <w:t xml:space="preserve"> </w:t>
      </w:r>
      <w:r>
        <w:rPr>
          <w:b/>
        </w:rPr>
        <w:t xml:space="preserve">scope, opinion, exceptions, and management responses</w:t>
      </w:r>
      <w:r>
        <w:t xml:space="preserve"> </w:t>
      </w:r>
      <w:r>
        <w:t xml:space="preserve">for internal stakeholders and for re-use in the NIST CSF assessment evidence file.</w:t>
      </w:r>
      <w:r>
        <w:t xml:space="preserve"> </w:t>
      </w:r>
      <w:r>
        <w:rPr>
          <w:b/>
        </w:rPr>
        <w:t xml:space="preserve">It does not reproduce the full attestation, the system description, or the detailed control descriptions, which are reserved for the full report under NDA.</w:t>
      </w:r>
    </w:p>
    <w:p>
      <w:pPr>
        <w:pStyle w:val="Heading2"/>
      </w:pPr>
      <w:bookmarkStart w:id="22" w:name="X41edbf08a766e1d7bb28b77cc606573561294ba"/>
      <w:r>
        <w:t xml:space="preserve">2. Engagement Overview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auditor</w:t>
            </w:r>
          </w:p>
        </w:tc>
        <w:tc>
          <w:p>
            <w:pPr>
              <w:pStyle w:val="Compact"/>
              <w:jc w:val="left"/>
            </w:pPr>
            <w:r>
              <w:t xml:space="preserve">Schellman &amp; Co., LLC (CPA firm — AICPA SOC 2 attestation engagement)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 engagement partner</w:t>
            </w:r>
          </w:p>
        </w:tc>
        <w:tc>
          <w:p>
            <w:pPr>
              <w:pStyle w:val="Compact"/>
              <w:jc w:val="left"/>
            </w:pPr>
            <w:r>
              <w:t xml:space="preserve">(Schellman engagement partner of record)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SOC 2 Type 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Services Criteria in scope</w:t>
            </w:r>
          </w:p>
        </w:tc>
        <w:tc>
          <w:p>
            <w:pPr>
              <w:pStyle w:val="Compact"/>
              <w:jc w:val="left"/>
            </w:pPr>
            <w:r>
              <w:t xml:space="preserve">All five — Security (Common Criteria), Availability, Processing Integrity, Confidentiality, Privacy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Examination period</w:t>
            </w:r>
          </w:p>
        </w:tc>
        <w:tc>
          <w:p>
            <w:pPr>
              <w:pStyle w:val="Compact"/>
              <w:jc w:val="left"/>
            </w:pPr>
            <w:r>
              <w:t xml:space="preserve">January 1, 2025 – December 31, 2025 (calendar year)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Subservice organizations carved out</w:t>
            </w:r>
          </w:p>
        </w:tc>
        <w:tc>
          <w:p>
            <w:pPr>
              <w:pStyle w:val="Compact"/>
              <w:jc w:val="left"/>
            </w:pPr>
            <w:r>
              <w:t xml:space="preserve">AWS (cloud infrastructure); Okta (workforce identity); Snowflake (analytical warehouse) — all carved out using the carve-out method, with complementary user-entity controls and complementary subservice organization controls disclosed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Issuance date</w:t>
            </w:r>
          </w:p>
        </w:tc>
        <w:tc>
          <w:p>
            <w:pPr>
              <w:pStyle w:val="Compact"/>
              <w:jc w:val="left"/>
            </w:pPr>
            <w:r>
              <w:t xml:space="preserve">February 14,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report</w:t>
            </w:r>
          </w:p>
        </w:tc>
        <w:tc>
          <w:p>
            <w:pPr>
              <w:pStyle w:val="Compact"/>
              <w:jc w:val="left"/>
            </w:pPr>
            <w:r>
              <w:t xml:space="preserve">SOC 2 Type II for calendar year 2024 (issued February 2025; clean opinion, 0 exceptions)</w:t>
            </w:r>
          </w:p>
        </w:tc>
      </w:tr>
    </w:tbl>
    <w:p>
      <w:pPr>
        <w:pStyle w:val="Heading2"/>
      </w:pPr>
      <w:bookmarkStart w:id="23" w:name="X46bfd5793d9ecf7b77711d746d0dce3e44d5d52"/>
      <w:r>
        <w:t xml:space="preserve">3. Service Auditor's Opinion</w:t>
      </w:r>
      <w:bookmarkEnd w:id="23"/>
    </w:p>
    <w:p>
      <w:pPr>
        <w:pStyle w:val="FirstParagraph"/>
      </w:pPr>
      <w:r>
        <w:rPr>
          <w:b/>
        </w:rPr>
        <w:t xml:space="preserve">Unqualified ("clean") opinion.</w:t>
      </w:r>
    </w:p>
    <w:p>
      <w:pPr>
        <w:pStyle w:val="BodyText"/>
      </w:pPr>
      <w:r>
        <w:t xml:space="preserve">The service auditor's opinion concludes that, in all material respects, throughout the period January 1, 2025 to December 31, 2025:</w:t>
      </w:r>
    </w:p>
    <w:p>
      <w:pPr>
        <w:numPr>
          <w:ilvl w:val="0"/>
          <w:numId w:val="1001"/>
        </w:numPr>
        <w:pStyle w:val="Compact"/>
      </w:pPr>
      <w:r>
        <w:t xml:space="preserve">The system description fairly presents the MeridianCare platform as designed and implemented;</w:t>
      </w:r>
    </w:p>
    <w:p>
      <w:pPr>
        <w:numPr>
          <w:ilvl w:val="0"/>
          <w:numId w:val="1001"/>
        </w:numPr>
        <w:pStyle w:val="Compact"/>
      </w:pPr>
      <w:r>
        <w:t xml:space="preserve">The controls were suitably designed to provide reasonable assurance that the service commitments and system requirements would be achieved if the controls operated effectively; and</w:t>
      </w:r>
    </w:p>
    <w:p>
      <w:pPr>
        <w:numPr>
          <w:ilvl w:val="0"/>
          <w:numId w:val="1001"/>
        </w:numPr>
        <w:pStyle w:val="Compact"/>
      </w:pPr>
      <w:r>
        <w:t xml:space="preserve">The controls operated effectively to provide reasonable assurance that service commitments and system requirements were achieved based on the applicable trust services criteria,</w:t>
      </w:r>
      <w:r>
        <w:t xml:space="preserve"> </w:t>
      </w:r>
      <w:r>
        <w:rPr>
          <w:b/>
        </w:rPr>
        <w:t xml:space="preserve">subject to the one exception described in §4 below.</w:t>
      </w:r>
    </w:p>
    <w:p>
      <w:pPr>
        <w:pStyle w:val="Heading2"/>
      </w:pPr>
      <w:bookmarkStart w:id="24" w:name="X0e5711ede956596e697780ad47482f111376b5f"/>
      <w:r>
        <w:t xml:space="preserve">4. Exception Identified</w:t>
      </w:r>
      <w:bookmarkEnd w:id="24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single exception</w:t>
      </w:r>
      <w:r>
        <w:t xml:space="preserve"> </w:t>
      </w:r>
      <w:r>
        <w:t xml:space="preserve">was identified. The auditor's opinion remains unqualified because the matter does not, in the auditor's judgment, prevent the controls from operating effectively in the aggregate during the period.</w:t>
      </w:r>
    </w:p>
    <w:p>
      <w:pPr>
        <w:pStyle w:val="Heading3"/>
      </w:pPr>
      <w:bookmarkStart w:id="25" w:name="Xb0d4fc161fab07dc822f63e9f53fe6cfdc345d7"/>
      <w:r>
        <w:t xml:space="preserve">4.1 Exception detail</w:t>
      </w:r>
      <w:bookmarkEnd w:id="25"/>
    </w:p>
    <w:p>
      <w:pPr>
        <w:pStyle w:val="FirstParagraph"/>
      </w:pPr>
      <w:r>
        <w:rPr>
          <w:b/>
        </w:rPr>
        <w:t xml:space="preserve">Control:</w:t>
      </w:r>
      <w:r>
        <w:t xml:space="preserve"> </w:t>
      </w:r>
      <w:r>
        <w:t xml:space="preserve">Quarterly access certification (CC6.3 — logical access; PR.AA-05 in the MCT–CSF mapping).</w:t>
      </w:r>
    </w:p>
    <w:p>
      <w:pPr>
        <w:pStyle w:val="BodyText"/>
      </w:pPr>
      <w:r>
        <w:rPr>
          <w:b/>
        </w:rPr>
        <w:t xml:space="preserve">Description.</w:t>
      </w:r>
      <w:r>
        <w:t xml:space="preserve"> </w:t>
      </w:r>
      <w:r>
        <w:t xml:space="preserve">MCT operates a quarterly access certification process under POL-IAM-01 §5. Under the process, application owners review the access list for their applications each quarter and either confirm or revoke each user's access; the process is tracked in Vanta. The Q3 2025 certification was scheduled to complete by September 30, 2025.</w:t>
      </w:r>
      <w:r>
        <w:t xml:space="preserve"> </w:t>
      </w:r>
      <w:r>
        <w:rPr>
          <w:b/>
        </w:rPr>
        <w:t xml:space="preserve">One certification batch (the Q3 2025 batch covering the Workday HRIS application) completed on October 6, 2025 — six (6) calendar days late.</w:t>
      </w:r>
    </w:p>
    <w:p>
      <w:pPr>
        <w:pStyle w:val="BodyText"/>
      </w:pPr>
      <w:r>
        <w:rPr>
          <w:b/>
        </w:rPr>
        <w:t xml:space="preserve">Root cause.</w:t>
      </w:r>
      <w:r>
        <w:t xml:space="preserve"> </w:t>
      </w:r>
      <w:r>
        <w:t xml:space="preserve">The Workday application owner (a manager in HR) was on personal leave during the final week of September; the backup owner was not designated in Vanta at the start of the cycle. Upon the application owner's return, the certification was completed within one business day.</w:t>
      </w:r>
    </w:p>
    <w:p>
      <w:pPr>
        <w:pStyle w:val="BodyText"/>
      </w:pPr>
      <w:r>
        <w:rPr>
          <w:b/>
        </w:rPr>
        <w:t xml:space="preserve">Impact assessment by the auditor.</w:t>
      </w:r>
      <w:r>
        <w:t xml:space="preserve"> </w:t>
      </w:r>
      <w:r>
        <w:t xml:space="preserve">No inappropriate access was identified during the certification once it was performed. No user retained access beyond business need during the 6-day delay. The exception is operational (a missed deadline) rather than a control-design failure. Schellman concluded the matter does not constitute a material weakness or warrant a qualified opinion.</w:t>
      </w:r>
    </w:p>
    <w:p>
      <w:pPr>
        <w:pStyle w:val="BodyText"/>
      </w:pPr>
      <w:r>
        <w:rPr>
          <w:b/>
        </w:rPr>
        <w:t xml:space="preserve">Management response.</w:t>
      </w:r>
    </w:p>
    <w:p>
      <w:pPr>
        <w:numPr>
          <w:ilvl w:val="0"/>
          <w:numId w:val="1002"/>
        </w:numPr>
        <w:pStyle w:val="Compact"/>
      </w:pPr>
      <w:r>
        <w:t xml:space="preserve">The Q4 2025 access certification cycle was completed on time (December 2025).</w:t>
      </w:r>
    </w:p>
    <w:p>
      <w:pPr>
        <w:numPr>
          <w:ilvl w:val="0"/>
          <w:numId w:val="1002"/>
        </w:numPr>
        <w:pStyle w:val="Compact"/>
      </w:pPr>
      <w:r>
        <w:t xml:space="preserve">Vanta certification workflows were updated to require a designated backup owner at cycle initiation; the workflow blocks cycle start until the backup is designated.</w:t>
      </w:r>
    </w:p>
    <w:p>
      <w:pPr>
        <w:numPr>
          <w:ilvl w:val="0"/>
          <w:numId w:val="1002"/>
        </w:numPr>
        <w:pStyle w:val="Compact"/>
      </w:pPr>
      <w:r>
        <w:t xml:space="preserve">The IAM Specialist (Ben Olafsson) added a calendar-week-21 / week-34 / week-47 reminder for cycle owners to confirm coverage planning before each cycle.</w:t>
      </w:r>
    </w:p>
    <w:p>
      <w:pPr>
        <w:numPr>
          <w:ilvl w:val="0"/>
          <w:numId w:val="1002"/>
        </w:numPr>
        <w:pStyle w:val="Compact"/>
      </w:pPr>
      <w:r>
        <w:t xml:space="preserve">The exception was reported to the Audit &amp; Risk Committee at its Q4 2025 meeting (MINUTES-Audit-Risk-Committee-Q4-2025).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Remediation complete; Q4 2025 cycle on time; Q1 2026 cycle on track.</w:t>
      </w:r>
    </w:p>
    <w:p>
      <w:pPr>
        <w:pStyle w:val="Heading2"/>
      </w:pPr>
      <w:bookmarkStart w:id="26" w:name="X45b5100470a41316cc03190cf0c6579dc41dd0c"/>
      <w:r>
        <w:t xml:space="preserve">5. Areas of Strength Noted by the Service Auditor</w:t>
      </w:r>
      <w:bookmarkEnd w:id="26"/>
    </w:p>
    <w:p>
      <w:pPr>
        <w:pStyle w:val="FirstParagraph"/>
      </w:pPr>
      <w:r>
        <w:t xml:space="preserve">While exceptions are the report's most consequential output, the auditor noted (in the Section 5 management commentary) several areas as design strengths:</w:t>
      </w:r>
    </w:p>
    <w:p>
      <w:pPr>
        <w:numPr>
          <w:ilvl w:val="0"/>
          <w:numId w:val="1003"/>
        </w:numPr>
        <w:pStyle w:val="Compact"/>
      </w:pPr>
      <w:r>
        <w:t xml:space="preserve">The transition to phishing-resistant MFA (FIDO2/WebAuthn) for production-access roles, with full enforcement achieved in Q4 2025, was identified as ahead of typical mid-market healthcare SaaS posture.</w:t>
      </w:r>
    </w:p>
    <w:p>
      <w:pPr>
        <w:numPr>
          <w:ilvl w:val="0"/>
          <w:numId w:val="1003"/>
        </w:numPr>
        <w:pStyle w:val="Compact"/>
      </w:pPr>
      <w:r>
        <w:t xml:space="preserve">The 24x7 MDR partnership with Arctic Wolf, layered on the in-house D&amp;R team, was noted as a mature operational construct.</w:t>
      </w:r>
    </w:p>
    <w:p>
      <w:pPr>
        <w:numPr>
          <w:ilvl w:val="0"/>
          <w:numId w:val="1003"/>
        </w:numPr>
        <w:pStyle w:val="Compact"/>
      </w:pPr>
      <w:r>
        <w:t xml:space="preserve">The post-Pebble-Phish program changes (FIDO2 expansion, MDR contract, quarterly phishing simulations, DLP project) were noted as a coherent integrated response to a credential-phishing event.</w:t>
      </w:r>
    </w:p>
    <w:p>
      <w:pPr>
        <w:numPr>
          <w:ilvl w:val="0"/>
          <w:numId w:val="1003"/>
        </w:numPr>
        <w:pStyle w:val="Compact"/>
      </w:pPr>
      <w:r>
        <w:t xml:space="preserve">The cybersecurity policy hierarchy and the cyber risk register were identified as well-documented and operating consistently.</w:t>
      </w:r>
    </w:p>
    <w:p>
      <w:pPr>
        <w:pStyle w:val="Heading2"/>
      </w:pPr>
      <w:bookmarkStart w:id="27" w:name="X47bb193a590f01b0d17668d6b2ab76608a0c37e"/>
      <w:r>
        <w:t xml:space="preserve">6. Subservice Organizations and CUEC</w:t>
      </w:r>
      <w:bookmarkEnd w:id="27"/>
    </w:p>
    <w:p>
      <w:pPr>
        <w:pStyle w:val="FirstParagraph"/>
      </w:pPr>
      <w:r>
        <w:t xml:space="preserve">Subservice organizations carved out are AWS, Okta, and Snowflake. Customers ("user entities") are reminded that the SOC 2 controls associated with the carved-out subservices are addressed by the subservice organizations' own SOC 2 reports, which MCT obtains and reviews annually. The Complementary User-Entity Controls (CUEC) listed in the report include:</w:t>
      </w:r>
    </w:p>
    <w:p>
      <w:pPr>
        <w:numPr>
          <w:ilvl w:val="0"/>
          <w:numId w:val="1004"/>
        </w:numPr>
        <w:pStyle w:val="Compact"/>
      </w:pPr>
      <w:r>
        <w:t xml:space="preserve">Customer access provisioning and deprovisioning to MeridianCare;</w:t>
      </w:r>
    </w:p>
    <w:p>
      <w:pPr>
        <w:numPr>
          <w:ilvl w:val="0"/>
          <w:numId w:val="1004"/>
        </w:numPr>
        <w:pStyle w:val="Compact"/>
      </w:pPr>
      <w:r>
        <w:t xml:space="preserve">Customer-side patient consent and HIPAA workflow accuracy;</w:t>
      </w:r>
    </w:p>
    <w:p>
      <w:pPr>
        <w:numPr>
          <w:ilvl w:val="0"/>
          <w:numId w:val="1004"/>
        </w:numPr>
        <w:pStyle w:val="Compact"/>
      </w:pPr>
      <w:r>
        <w:t xml:space="preserve">Customer-side network and endpoint security relevant to portal access.</w:t>
      </w:r>
    </w:p>
    <w:p>
      <w:pPr>
        <w:pStyle w:val="Heading2"/>
      </w:pPr>
      <w:bookmarkStart w:id="28" w:name="X13d5938e992c9b2b3f353b484f32c238ea01df9"/>
      <w:r>
        <w:t xml:space="preserve">7. Linked Documents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POL-001 Information Security Policy</w:t>
      </w:r>
    </w:p>
    <w:p>
      <w:pPr>
        <w:numPr>
          <w:ilvl w:val="0"/>
          <w:numId w:val="1005"/>
        </w:numPr>
        <w:pStyle w:val="Compact"/>
      </w:pPr>
      <w:r>
        <w:t xml:space="preserve">POL-IAM-01 Identity and Access Management Policy</w:t>
      </w:r>
    </w:p>
    <w:p>
      <w:pPr>
        <w:numPr>
          <w:ilvl w:val="0"/>
          <w:numId w:val="1005"/>
        </w:numPr>
        <w:pStyle w:val="Compact"/>
      </w:pPr>
      <w:r>
        <w:t xml:space="preserve">MINUTES-Audit-Risk-Committee-Q4-2025</w:t>
      </w:r>
    </w:p>
    <w:p>
      <w:pPr>
        <w:numPr>
          <w:ilvl w:val="0"/>
          <w:numId w:val="1005"/>
        </w:numPr>
        <w:pStyle w:val="Compact"/>
      </w:pPr>
      <w:r>
        <w:t xml:space="preserve">RPT-Internal-Audit-Cybersecurity-2025</w:t>
      </w:r>
    </w:p>
    <w:p>
      <w:pPr>
        <w:numPr>
          <w:ilvl w:val="0"/>
          <w:numId w:val="1005"/>
        </w:numPr>
        <w:pStyle w:val="Compact"/>
      </w:pPr>
      <w:r>
        <w:t xml:space="preserve">(Full SOC 2 Type II report — under NDA via Trust Center)</w:t>
      </w:r>
    </w:p>
    <w:p>
      <w:pPr>
        <w:pStyle w:val="Heading2"/>
      </w:pPr>
      <w:bookmarkStart w:id="29" w:name="X5869244096db95521a75b6c575e03a0935126aa"/>
      <w:r>
        <w:t xml:space="preserve">8. Document Control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2026-02-18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J. Park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Initial excerpt prepared from Schellman issued report dated 2026-02-14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2026-04-30T19:08:45Z</dcterms:created>
  <dcterms:modified xsi:type="dcterms:W3CDTF">2026-04-30T19:08:45Z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