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a506e93da64195d38e4999d5ae769a78bc4d33"/>
      <w:r>
        <w:t xml:space="preserve">Meridian Care Technologies (MCT) — CSF 2.0 Test Corpus</w:t>
      </w:r>
      <w:bookmarkEnd w:id="20"/>
    </w:p>
    <w:p>
      <w:pPr>
        <w:pStyle w:val="FirstParagraph"/>
      </w:pPr>
      <w:r>
        <w:t xml:space="preserve">This folder contains a synthetic but internally consistent body of evidence for a fictional mid-market healthcare SaaS company,</w:t>
      </w:r>
      <w:r>
        <w:t xml:space="preserve"> </w:t>
      </w:r>
      <w:r>
        <w:rPr>
          <w:b/>
        </w:rPr>
        <w:t xml:space="preserve">Meridian Care Technologies, Inc.</w:t>
      </w:r>
      <w:r>
        <w:t xml:space="preserve"> </w:t>
      </w:r>
      <w:r>
        <w:t xml:space="preserve">It exists to exhaust-test the NIST CSF 2.0 assessment tool at</w:t>
      </w:r>
      <w:r>
        <w:t xml:space="preserve"> </w:t>
      </w:r>
      <w:r>
        <w:rPr>
          <w:rStyle w:val="VerbatimChar"/>
        </w:rPr>
        <w:t xml:space="preserve">..\NIST CSF thing\NIST CSF assessment tool\nist-csf-assessment.html</w:t>
      </w:r>
      <w:r>
        <w:t xml:space="preserve"> </w:t>
      </w:r>
      <w:r>
        <w:t xml:space="preserve">by feeding it documents and notes that exercise every DRL bucket and every in-scope subcategory.</w:t>
      </w:r>
    </w:p>
    <w:p>
      <w:pPr>
        <w:pStyle w:val="Heading2"/>
      </w:pPr>
      <w:bookmarkStart w:id="21" w:name="folder-map"/>
      <w:r>
        <w:t xml:space="preserve">Folder map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1_Case_Study/</w:t>
            </w:r>
          </w:p>
        </w:tc>
        <w:tc>
          <w:p>
            <w:pPr>
              <w:pStyle w:val="Compact"/>
              <w:jc w:val="left"/>
            </w:pPr>
            <w:r>
              <w:t xml:space="preserve">Company backgrounder, business case, KPI trends, financials — the canonical facts that every other document refers back to.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2_DRL_Documents/</w:t>
            </w:r>
          </w:p>
        </w:tc>
        <w:tc>
          <w:p>
            <w:pPr>
              <w:pStyle w:val="Compact"/>
              <w:jc w:val="left"/>
            </w:pPr>
            <w:r>
              <w:t xml:space="preserve">The 42 evidence documents grouped into the tool's 12 DRL buckets. These are the files you upload during the assessment.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3_Evidence_Map/</w:t>
            </w:r>
          </w:p>
        </w:tc>
        <w:tc>
          <w:p>
            <w:pPr>
              <w:pStyle w:val="Compact"/>
              <w:jc w:val="left"/>
            </w:pPr>
            <w:r>
              <w:t xml:space="preserve">Per-subcategory crosswalk: which document(s) support each of the 106 in-scope subcategories, with the target CMMI score and rationale.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4_Maturity_Profile/</w:t>
            </w:r>
          </w:p>
        </w:tc>
        <w:tc>
          <w:p>
            <w:pPr>
              <w:pStyle w:val="Compact"/>
              <w:jc w:val="left"/>
            </w:pPr>
            <w:r>
              <w:t xml:space="preserve">Function-level scoring narrative justifying the ~2.65 aggregate.</w:t>
            </w:r>
          </w:p>
        </w:tc>
      </w:tr>
    </w:tbl>
    <w:p>
      <w:pPr>
        <w:pStyle w:val="Heading2"/>
      </w:pPr>
      <w:bookmarkStart w:id="22" w:name="target-maturity-profile"/>
      <w:r>
        <w:t xml:space="preserve">Target maturity profile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CMMI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GV</w:t>
            </w:r>
          </w:p>
        </w:tc>
        <w:tc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HIPAA-driven; deliberate gap in GV.SC supplier continuous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2.85</w:t>
            </w:r>
          </w:p>
        </w:tc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Asset inventories solid; ID.RA thin (no formal threat-modeling cadence — FY26 priority 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p>
            <w:pPr>
              <w:pStyle w:val="Compact"/>
              <w:jc w:val="left"/>
            </w:pPr>
            <w:r>
              <w:t xml:space="preserve">2.80</w:t>
            </w:r>
          </w:p>
        </w:tc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IAM, training, encryption mature; legacy on-prem drags PR.PS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p>
            <w:pPr>
              <w:pStyle w:val="Compact"/>
              <w:jc w:val="left"/>
            </w:pPr>
            <w:r>
              <w:t xml:space="preserve">2.30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SIEM operational; coverage and tuning debt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RS</w:t>
            </w:r>
          </w:p>
        </w:tc>
        <w:tc>
          <w:p>
            <w:pPr>
              <w:pStyle w:val="Compact"/>
              <w:jc w:val="left"/>
            </w:pPr>
            <w:r>
              <w:t xml:space="preserve">2.70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IR plan tested annually; one real incident gives artifacts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RC</w:t>
            </w:r>
          </w:p>
        </w:tc>
        <w:tc>
          <w:p>
            <w:pPr>
              <w:pStyle w:val="Compact"/>
              <w:jc w:val="left"/>
            </w:pPr>
            <w:r>
              <w:t xml:space="preserve">2.05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Deliberate weak spot — recovery testing shallow (annual, single-service scope)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Aggregate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~2.63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Realistic mid-market healthcare SaaS posture</w:t>
            </w:r>
          </w:p>
        </w:tc>
      </w:tr>
    </w:tbl>
    <w:p>
      <w:pPr>
        <w:pStyle w:val="Heading2"/>
      </w:pPr>
      <w:bookmarkStart w:id="23" w:name="how-to-use-this-corpus"/>
      <w:r>
        <w:t xml:space="preserve">How to use this corpus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Open the assessment tool (</w:t>
      </w:r>
      <w:r>
        <w:rPr>
          <w:rStyle w:val="VerbatimChar"/>
        </w:rPr>
        <w:t xml:space="preserve">nist-csf-assessment.html</w:t>
      </w:r>
      <w:r>
        <w:t xml:space="preserve">) in a browser.</w:t>
      </w:r>
    </w:p>
    <w:p>
      <w:pPr>
        <w:numPr>
          <w:ilvl w:val="0"/>
          <w:numId w:val="1001"/>
        </w:numPr>
        <w:pStyle w:val="Compact"/>
      </w:pPr>
      <w:r>
        <w:t xml:space="preserve">In the Org/Scoping step, enter MCT details from</w:t>
      </w:r>
      <w:r>
        <w:t xml:space="preserve"> </w:t>
      </w:r>
      <w:r>
        <w:rPr>
          <w:rStyle w:val="VerbatimChar"/>
        </w:rPr>
        <w:t xml:space="preserve">1_Case_Study/mct-backgrounder.md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 the DRL step, upload each document from</w:t>
      </w:r>
      <w:r>
        <w:t xml:space="preserve"> </w:t>
      </w:r>
      <w:r>
        <w:rPr>
          <w:rStyle w:val="VerbatimChar"/>
        </w:rPr>
        <w:t xml:space="preserve">2_DRL_Documents/&lt;bucket&gt;/</w:t>
      </w:r>
      <w:r>
        <w:t xml:space="preserve"> </w:t>
      </w:r>
      <w:r>
        <w:t xml:space="preserve">into its matching request bucket. For each file, paste the prepared context note from</w:t>
      </w:r>
      <w:r>
        <w:t xml:space="preserve"> </w:t>
      </w:r>
      <w:r>
        <w:rPr>
          <w:rStyle w:val="VerbatimChar"/>
        </w:rPr>
        <w:t xml:space="preserve">3_Evidence_Map/drl-context-notes.md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Mark the deliberately-omitted requests as "not provided" with the prepared rationale.</w:t>
      </w:r>
    </w:p>
    <w:p>
      <w:pPr>
        <w:numPr>
          <w:ilvl w:val="0"/>
          <w:numId w:val="1001"/>
        </w:numPr>
        <w:pStyle w:val="Compact"/>
      </w:pPr>
      <w:r>
        <w:t xml:space="preserve">Proceed through questionnaire → findings → scoring. Compare actual scores to the targets in</w:t>
      </w:r>
      <w:r>
        <w:t xml:space="preserve"> </w:t>
      </w:r>
      <w:r>
        <w:rPr>
          <w:rStyle w:val="VerbatimChar"/>
        </w:rPr>
        <w:t xml:space="preserve">4_Maturity_Profile/</w:t>
      </w:r>
      <w:r>
        <w:t xml:space="preserve">.</w:t>
      </w:r>
    </w:p>
    <w:p>
      <w:pPr>
        <w:pStyle w:val="Heading2"/>
      </w:pPr>
      <w:bookmarkStart w:id="24" w:name="conversion-to-docx--xlsx"/>
      <w:r>
        <w:t xml:space="preserve">Conversion to .docx / .xlsx</w:t>
      </w:r>
      <w:bookmarkEnd w:id="24"/>
    </w:p>
    <w:p>
      <w:pPr>
        <w:pStyle w:val="FirstParagraph"/>
      </w:pPr>
      <w:r>
        <w:t xml:space="preserve">Source content is markdown and CSV for clean version control. Convert before tool ingestion:</w:t>
      </w:r>
    </w:p>
    <w:p>
      <w:pPr>
        <w:pStyle w:val="SourceCode"/>
      </w:pPr>
      <w:r>
        <w:rPr>
          <w:rStyle w:val="CommentTok"/>
        </w:rPr>
        <w:t xml:space="preserve"># Markdown → DOCX (preserves headings, tables, lists)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-o output.docx --reference-doc=reference.docx</w:t>
      </w:r>
      <w:r>
        <w:br/>
      </w:r>
      <w:r>
        <w:br/>
      </w:r>
      <w:r>
        <w:rPr>
          <w:rStyle w:val="CommentTok"/>
        </w:rPr>
        <w:t xml:space="preserve"># CSV → XLSX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"import pandas as pd; pd.read_csv('input.csv').to_excel('output.xlsx', index=False)"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2026-04-30T19:08:46Z</dcterms:created>
  <dcterms:modified xsi:type="dcterms:W3CDTF">2026-04-30T19:08:46Z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