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Eike Natan Sousa Brito</w:t>
      </w:r>
      <w:r>
        <w:br/>
      </w:r>
      <w:r>
        <w:t xml:space="preserve">Universidade Federal de Sergipe</w:t>
      </w:r>
      <w:r>
        <w:br/>
      </w:r>
      <w:r>
        <w:t xml:space="preserve">Cidade Universitária Prof. José Aloísio de Campos</w:t>
      </w:r>
      <w:r>
        <w:br/>
      </w:r>
      <w:r>
        <w:t xml:space="preserve">São Cristóvão, Sergipe, 49100-000, Brazil</w:t>
      </w:r>
      <w:r>
        <w:br/>
      </w:r>
      <w:r>
        <w:t xml:space="preserve">eike.sousa@hotmail.com</w:t>
      </w:r>
    </w:p>
    <w:p>
      <w:pPr>
        <w:pStyle w:val="BodyText"/>
      </w:pPr>
      <w:r>
        <w:t xml:space="preserve">June 16, 2026</w:t>
      </w:r>
    </w:p>
    <w:p>
      <w:pPr>
        <w:pStyle w:val="BodyText"/>
      </w:pPr>
      <w:r>
        <w:t xml:space="preserve">To the Editors</w:t>
      </w:r>
      <w:r>
        <w:br/>
      </w:r>
      <w:r>
        <w:rPr>
          <w:iCs/>
          <w:i/>
        </w:rPr>
        <w:t xml:space="preserve">MethodsX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We are pleased to submit our manuscript entitled</w:t>
      </w:r>
      <w:r>
        <w:t xml:space="preserve"> </w:t>
      </w:r>
      <w:r>
        <w:t xml:space="preserve">“</w:t>
      </w:r>
      <w:r>
        <w:t xml:space="preserve">A Comparative Analysis of</w:t>
      </w:r>
      <w:r>
        <w:t xml:space="preserve"> </w:t>
      </w:r>
      <w:r>
        <w:t xml:space="preserve">Open-Source LLMs for Converting Architecture, Engineering and Construction</w:t>
      </w:r>
      <w:r>
        <w:t xml:space="preserve"> </w:t>
      </w:r>
      <w:r>
        <w:t xml:space="preserve">Standards to the RASE Format</w:t>
      </w:r>
      <w:r>
        <w:t xml:space="preserve">”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Cs/>
          <w:i/>
        </w:rPr>
        <w:t xml:space="preserve">MethodsX</w:t>
      </w:r>
      <w:r>
        <w:t xml:space="preserve">.</w:t>
      </w:r>
    </w:p>
    <w:p>
      <w:pPr>
        <w:pStyle w:val="BodyText"/>
      </w:pPr>
      <w:r>
        <w:t xml:space="preserve">In line with the scope of</w:t>
      </w:r>
      <w:r>
        <w:t xml:space="preserve"> </w:t>
      </w:r>
      <w:r>
        <w:rPr>
          <w:iCs/>
          <w:i/>
        </w:rPr>
        <w:t xml:space="preserve">MethodsX</w:t>
      </w:r>
      <w:r>
        <w:t xml:space="preserve">, this manuscript describes a</w:t>
      </w:r>
      <w:r>
        <w:t xml:space="preserve"> </w:t>
      </w:r>
      <w:r>
        <w:t xml:space="preserve">reproducible method rather than a single set of results. We present RASE-PE, a</w:t>
      </w:r>
      <w:r>
        <w:t xml:space="preserve"> </w:t>
      </w:r>
      <w:r>
        <w:t xml:space="preserve">three-level normalization pipeline that uses Prompt Engineering alone—without</w:t>
      </w:r>
      <w:r>
        <w:t xml:space="preserve"> </w:t>
      </w:r>
      <w:r>
        <w:t xml:space="preserve">fine-tuning—to convert Architecture, Engineering and Construction (AEC)</w:t>
      </w:r>
      <w:r>
        <w:t xml:space="preserve"> </w:t>
      </w:r>
      <w:r>
        <w:t xml:space="preserve">technical standards into the computable RASE format (Requirement, Applicability,</w:t>
      </w:r>
      <w:r>
        <w:t xml:space="preserve"> </w:t>
      </w:r>
      <w:r>
        <w:t xml:space="preserve">Selection, Exception) required for automated BIM compliance checking. The method</w:t>
      </w:r>
      <w:r>
        <w:t xml:space="preserve"> </w:t>
      </w:r>
      <w:r>
        <w:t xml:space="preserve">decomposes the conversion into three successive levels: (N1) atomic segmentation</w:t>
      </w:r>
      <w:r>
        <w:t xml:space="preserve"> </w:t>
      </w:r>
      <w:r>
        <w:t xml:space="preserve">of normative sentences, (N2) identification of RASE operators, and (N3) semantic</w:t>
      </w:r>
      <w:r>
        <w:t xml:space="preserve"> </w:t>
      </w:r>
      <w:r>
        <w:t xml:space="preserve">JSON structuring.</w:t>
      </w:r>
    </w:p>
    <w:p>
      <w:pPr>
        <w:pStyle w:val="BodyText"/>
      </w:pPr>
      <w:r>
        <w:t xml:space="preserve">We believe the method fits</w:t>
      </w:r>
      <w:r>
        <w:t xml:space="preserve"> </w:t>
      </w:r>
      <w:r>
        <w:rPr>
          <w:iCs/>
          <w:i/>
        </w:rPr>
        <w:t xml:space="preserve">MethodsX</w:t>
      </w:r>
      <w:r>
        <w:t xml:space="preserve"> </w:t>
      </w:r>
      <w:r>
        <w:t xml:space="preserve">for the following reasons:</w:t>
      </w:r>
    </w:p>
    <w:p>
      <w:pPr>
        <w:numPr>
          <w:ilvl w:val="0"/>
          <w:numId w:val="1001"/>
        </w:numPr>
      </w:pPr>
      <w:r>
        <w:t xml:space="preserve">It is a transferable, step-by-step procedure that other researchers and</w:t>
      </w:r>
      <w:r>
        <w:t xml:space="preserve"> </w:t>
      </w:r>
      <w:r>
        <w:t xml:space="preserve">practitioners can reproduce and adapt to their own standards and models.</w:t>
      </w:r>
    </w:p>
    <w:p>
      <w:pPr>
        <w:numPr>
          <w:ilvl w:val="0"/>
          <w:numId w:val="1001"/>
        </w:numPr>
      </w:pPr>
      <w:r>
        <w:t xml:space="preserve">It was validated on a real dataset of 79 annotated NBR 9050 standards</w:t>
      </w:r>
      <w:r>
        <w:t xml:space="preserve"> </w:t>
      </w:r>
      <w:r>
        <w:t xml:space="preserve">across five experiments, using thirteen metrics from five families</w:t>
      </w:r>
      <w:r>
        <w:t xml:space="preserve"> </w:t>
      </w:r>
      <w:r>
        <w:t xml:space="preserve">(lexical, semantic, distance-based, generation-oriented, and</w:t>
      </w:r>
      <w:r>
        <w:t xml:space="preserve"> </w:t>
      </w:r>
      <w:r>
        <w:t xml:space="preserve">classification), reaching semantic similarity close to 0.90 in the best</w:t>
      </w:r>
      <w:r>
        <w:t xml:space="preserve"> </w:t>
      </w:r>
      <w:r>
        <w:t xml:space="preserve">scenarios.</w:t>
      </w:r>
    </w:p>
    <w:p>
      <w:pPr>
        <w:numPr>
          <w:ilvl w:val="0"/>
          <w:numId w:val="1001"/>
        </w:numPr>
      </w:pPr>
      <w:r>
        <w:t xml:space="preserve">It relies exclusively on open-source LLMs (Llama, Dolphin, Gemma,</w:t>
      </w:r>
      <w:r>
        <w:t xml:space="preserve"> </w:t>
      </w:r>
      <w:r>
        <w:t xml:space="preserve">Mistral, Alpaca, and Qwen) served locally through Ollama, under an</w:t>
      </w:r>
      <w:r>
        <w:t xml:space="preserve"> </w:t>
      </w:r>
      <w:r>
        <w:t xml:space="preserve">identical dataset, prompt, and hardware protocol, so the full procedure</w:t>
      </w:r>
      <w:r>
        <w:t xml:space="preserve"> </w:t>
      </w:r>
      <w:r>
        <w:t xml:space="preserve">can be reproduced without proprietary tools.</w:t>
      </w:r>
    </w:p>
    <w:p>
      <w:pPr>
        <w:pStyle w:val="FirstParagraph"/>
      </w:pPr>
      <w:r>
        <w:t xml:space="preserve">The manuscript follows the</w:t>
      </w:r>
      <w:r>
        <w:t xml:space="preserve"> </w:t>
      </w:r>
      <w:r>
        <w:rPr>
          <w:iCs/>
          <w:i/>
        </w:rPr>
        <w:t xml:space="preserve">MethodsX</w:t>
      </w:r>
      <w:r>
        <w:t xml:space="preserve"> </w:t>
      </w:r>
      <w:r>
        <w:t xml:space="preserve">article structure, includes a</w:t>
      </w:r>
      <w:r>
        <w:t xml:space="preserve"> </w:t>
      </w:r>
      <w:r>
        <w:t xml:space="preserve">CRediT author statement and a data availability statement, and reports the</w:t>
      </w:r>
      <w:r>
        <w:t xml:space="preserve"> </w:t>
      </w:r>
      <w:r>
        <w:t xml:space="preserve">method in sufficient detail to be repeated.</w:t>
      </w:r>
    </w:p>
    <w:p>
      <w:pPr>
        <w:pStyle w:val="BodyText"/>
      </w:pPr>
      <w:r>
        <w:t xml:space="preserve">We confirm that this work is original, has not been published previously, and is</w:t>
      </w:r>
      <w:r>
        <w:t xml:space="preserve"> </w:t>
      </w:r>
      <w:r>
        <w:t xml:space="preserve">not under consideration by any other journal. All authors have approved the</w:t>
      </w:r>
      <w:r>
        <w:t xml:space="preserve"> </w:t>
      </w:r>
      <w:r>
        <w:t xml:space="preserve">submission. The authors declare that they have no known competing financial</w:t>
      </w:r>
      <w:r>
        <w:t xml:space="preserve"> </w:t>
      </w:r>
      <w:r>
        <w:t xml:space="preserve">interests or personal relationships that could have influenced the work reported</w:t>
      </w:r>
      <w:r>
        <w:t xml:space="preserve"> </w:t>
      </w:r>
      <w:r>
        <w:t xml:space="preserve">in this paper.</w:t>
      </w:r>
    </w:p>
    <w:p>
      <w:pPr>
        <w:pStyle w:val="BodyText"/>
      </w:pPr>
      <w:r>
        <w:t xml:space="preserve">Thank you for considering our submission.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Eike Natan Sousa Brito (on behalf of all authors)</w:t>
      </w:r>
      <w:r>
        <w:br/>
      </w:r>
      <w:r>
        <w:t xml:space="preserve">Co-authors: André Carvalho; Marco Antônio Brasiel Sampaio</w:t>
      </w:r>
      <w:r>
        <w:br/>
      </w:r>
      <w:r>
        <w:t xml:space="preserve">Universidade Federal de Sergipe, São Cristóvão, Sergipe, Brazil</w:t>
      </w:r>
      <w:r>
        <w:br/>
      </w:r>
      <w:r>
        <w:t xml:space="preserve">eike.sousa@hotmail.com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2026-06-16T22:23:53Z</dcterms:created>
  <dcterms:modified xsi:type="dcterms:W3CDTF">2026-06-16T22:23:53Z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