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40D8C3B"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375F21">
        <w:rPr>
          <w:noProof/>
          <w:sz w:val="22"/>
          <w:szCs w:val="28"/>
        </w:rPr>
        <w:t>5.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End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End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End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End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End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End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9264"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C1466F"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64.9pt;margin-top:139.95pt;width:239.5pt;height:117.5pt;z-index:-251654144;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5168"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C1466F"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w:t>
      </w:r>
      <w:bookmarkStart w:id="9" w:name="_GoBack"/>
      <w:bookmarkEnd w:id="9"/>
      <w:r w:rsidR="008D1E44">
        <w:t xml:space="preserve">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10" w:name="_Toc455500000"/>
      <w:r>
        <w:t>S</w:t>
      </w:r>
      <w:r w:rsidR="00963037" w:rsidRPr="00963037">
        <w:t>imulationsumgebung</w:t>
      </w:r>
      <w:bookmarkEnd w:id="10"/>
    </w:p>
    <w:p w14:paraId="53BB3232" w14:textId="2489CB51" w:rsidR="006576F2" w:rsidRDefault="00DF1E9C" w:rsidP="00A30E6B">
      <w:pPr>
        <w:pStyle w:val="-OlWIRStandardtext-"/>
      </w:pPr>
      <w:r>
        <w:rPr>
          <w:noProof/>
        </w:rPr>
        <w:drawing>
          <wp:anchor distT="0" distB="0" distL="114300" distR="114300" simplePos="0" relativeHeight="251654144"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3120"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1" w:name="_Toc455500001"/>
      <w:r w:rsidRPr="00B62329">
        <w:rPr>
          <w:rFonts w:ascii="Arial" w:hAnsi="Arial"/>
          <w:bCs/>
        </w:rPr>
        <w:lastRenderedPageBreak/>
        <w:t>3</w:t>
      </w:r>
      <w:r w:rsidRPr="00B62329">
        <w:rPr>
          <w:rFonts w:ascii="Arial" w:hAnsi="Arial"/>
          <w:bCs/>
        </w:rPr>
        <w:tab/>
        <w:t>Verwandte Arbeiten</w:t>
      </w:r>
      <w:bookmarkEnd w:id="11"/>
    </w:p>
    <w:p w14:paraId="450E1CB9" w14:textId="23E34D03" w:rsidR="001D0798" w:rsidRDefault="008D1D40" w:rsidP="001D0798">
      <w:pPr>
        <w:pStyle w:val="-OlWIRberschrift1-"/>
        <w:rPr>
          <w:rFonts w:ascii="Arial" w:hAnsi="Arial"/>
          <w:bCs/>
        </w:rPr>
      </w:pPr>
      <w:bookmarkStart w:id="12"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2"/>
    </w:p>
    <w:p w14:paraId="303FCC35" w14:textId="650D0250" w:rsidR="008D1D40" w:rsidRDefault="008D1D40" w:rsidP="00F94B27">
      <w:pPr>
        <w:pStyle w:val="-OlWIRberschrift2-"/>
        <w:numPr>
          <w:ilvl w:val="0"/>
          <w:numId w:val="0"/>
        </w:numPr>
      </w:pPr>
      <w:bookmarkStart w:id="13" w:name="_Toc455500003"/>
      <w:r>
        <w:t xml:space="preserve">4.1 </w:t>
      </w:r>
      <w:r w:rsidR="008A42B1">
        <w:t>D</w:t>
      </w:r>
      <w:r>
        <w:t>ie Simulation</w:t>
      </w:r>
      <w:bookmarkEnd w:id="13"/>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4" w:name="_Toc455500004"/>
      <w:r>
        <w:t>4.2 An die Ergebnisse</w:t>
      </w:r>
      <w:bookmarkEnd w:id="14"/>
    </w:p>
    <w:p w14:paraId="35B5DF38" w14:textId="214BB377" w:rsidR="00375F21" w:rsidRDefault="00375F21" w:rsidP="008D1D40">
      <w:pPr>
        <w:pStyle w:val="-OlWIRberschrift1-"/>
        <w:rPr>
          <w:rFonts w:ascii="Arial" w:hAnsi="Arial"/>
          <w:bCs/>
        </w:rPr>
      </w:pPr>
      <w:bookmarkStart w:id="15" w:name="_Toc455500005"/>
      <w:r>
        <w:rPr>
          <w:rFonts w:ascii="Arial" w:hAnsi="Arial"/>
          <w:bCs/>
        </w:rPr>
        <w:lastRenderedPageBreak/>
        <w:t>5</w:t>
      </w:r>
      <w:r>
        <w:rPr>
          <w:rFonts w:ascii="Arial" w:hAnsi="Arial"/>
          <w:bCs/>
        </w:rPr>
        <w:tab/>
        <w:t>Konzept</w:t>
      </w:r>
      <w:bookmarkEnd w:id="15"/>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7216"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5"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8240"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60288"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7"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61312"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29"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6192"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1"/>
          <w:footerReference w:type="default" r:id="rId32"/>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375F21"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375F21"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943CF8" w:rsidP="000A3120">
      <w:pPr>
        <w:pStyle w:val="-OlWIRLiteraturverzeichnis-"/>
      </w:pPr>
      <w:fldSimple w:instr=" TOC \h \z \c &quot;Abbildung&quot; ">
        <w:r>
          <w:rPr>
            <w:b/>
            <w:bCs/>
            <w:noProof/>
          </w:rPr>
          <w:t>Es konnten keine Einträge für ein Abbildungsverzeichnis gefunden werden.</w:t>
        </w:r>
      </w:fldSimple>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A3226C">
          <w:headerReference w:type="even" r:id="rId33"/>
          <w:type w:val="oddPage"/>
          <w:pgSz w:w="11906" w:h="16838" w:code="9"/>
          <w:pgMar w:top="1701" w:right="2268" w:bottom="1701" w:left="2268" w:header="1304" w:footer="2268" w:gutter="0"/>
          <w:cols w:space="720"/>
        </w:sectPr>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1F41A" w14:textId="77777777" w:rsidR="00C1466F" w:rsidRDefault="00C1466F">
      <w:r>
        <w:separator/>
      </w:r>
    </w:p>
  </w:endnote>
  <w:endnote w:type="continuationSeparator" w:id="0">
    <w:p w14:paraId="61E0C484" w14:textId="77777777" w:rsidR="00C1466F" w:rsidRDefault="00C1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CC1AEA" w:rsidRDefault="00CC1AEA">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CC1AEA" w:rsidRDefault="00CC1AEA">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CC1AEA" w:rsidRDefault="00CC1AEA"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CC1AEA" w:rsidRDefault="00CC1AEA">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CC1AEA" w:rsidRDefault="00CC1AEA"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CC1AEA" w:rsidRDefault="00CC1AEA"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D260B" w14:textId="77777777" w:rsidR="00C1466F" w:rsidRDefault="00C1466F">
      <w:r>
        <w:separator/>
      </w:r>
    </w:p>
  </w:footnote>
  <w:footnote w:type="continuationSeparator" w:id="0">
    <w:p w14:paraId="72C9DA58" w14:textId="77777777" w:rsidR="00C1466F" w:rsidRDefault="00C1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CC1AEA" w:rsidRDefault="00CC1AEA"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249448F1"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C406C">
      <w:rPr>
        <w:rStyle w:val="Seitenzahl"/>
        <w:noProof/>
      </w:rPr>
      <w:t>II</w:t>
    </w:r>
    <w:r>
      <w:rPr>
        <w:rStyle w:val="Seitenzahl"/>
      </w:rPr>
      <w:fldChar w:fldCharType="end"/>
    </w:r>
  </w:p>
  <w:p w14:paraId="199B7980" w14:textId="77777777" w:rsidR="00CC1AEA" w:rsidRPr="00416E84" w:rsidRDefault="00CC1AEA"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CC1AEA" w:rsidRDefault="00CC1AE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546931FF"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5518CE">
      <w:rPr>
        <w:rStyle w:val="Seitenzahl"/>
        <w:noProof/>
      </w:rPr>
      <w:t>8</w:t>
    </w:r>
    <w:r>
      <w:rPr>
        <w:rStyle w:val="Seitenzahl"/>
      </w:rPr>
      <w:fldChar w:fldCharType="end"/>
    </w:r>
  </w:p>
  <w:p w14:paraId="7810C4B9" w14:textId="77777777" w:rsidR="00CC1AEA" w:rsidRDefault="00CC1AEA"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CC1AEA" w:rsidRDefault="00CC1AEA"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7"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4"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5"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7"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9"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0"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3"/>
  </w:num>
  <w:num w:numId="2">
    <w:abstractNumId w:val="11"/>
  </w:num>
  <w:num w:numId="3">
    <w:abstractNumId w:val="2"/>
  </w:num>
  <w:num w:numId="4">
    <w:abstractNumId w:val="6"/>
  </w:num>
  <w:num w:numId="5">
    <w:abstractNumId w:val="16"/>
  </w:num>
  <w:num w:numId="6">
    <w:abstractNumId w:val="15"/>
  </w:num>
  <w:num w:numId="7">
    <w:abstractNumId w:val="18"/>
  </w:num>
  <w:num w:numId="8">
    <w:abstractNumId w:val="14"/>
  </w:num>
  <w:num w:numId="9">
    <w:abstractNumId w:val="1"/>
  </w:num>
  <w:num w:numId="10">
    <w:abstractNumId w:val="19"/>
  </w:num>
  <w:num w:numId="11">
    <w:abstractNumId w:val="10"/>
  </w:num>
  <w:num w:numId="12">
    <w:abstractNumId w:val="17"/>
  </w:num>
  <w:num w:numId="13">
    <w:abstractNumId w:val="9"/>
  </w:num>
  <w:num w:numId="14">
    <w:abstractNumId w:val="12"/>
  </w:num>
  <w:num w:numId="15">
    <w:abstractNumId w:val="8"/>
  </w:num>
  <w:num w:numId="16">
    <w:abstractNumId w:val="5"/>
  </w:num>
  <w:num w:numId="17">
    <w:abstractNumId w:val="7"/>
  </w:num>
  <w:num w:numId="18">
    <w:abstractNumId w:val="20"/>
  </w:num>
  <w:num w:numId="19">
    <w:abstractNumId w:val="0"/>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4764"/>
    <w:rsid w:val="00094526"/>
    <w:rsid w:val="000A3120"/>
    <w:rsid w:val="000B368D"/>
    <w:rsid w:val="000C0AF2"/>
    <w:rsid w:val="000C4E15"/>
    <w:rsid w:val="00143EF4"/>
    <w:rsid w:val="00156793"/>
    <w:rsid w:val="001643AD"/>
    <w:rsid w:val="001D0798"/>
    <w:rsid w:val="002017E5"/>
    <w:rsid w:val="002138BD"/>
    <w:rsid w:val="00231B1A"/>
    <w:rsid w:val="00287C71"/>
    <w:rsid w:val="002C18A7"/>
    <w:rsid w:val="002D2EB5"/>
    <w:rsid w:val="002D4828"/>
    <w:rsid w:val="003323F0"/>
    <w:rsid w:val="003562ED"/>
    <w:rsid w:val="00375F21"/>
    <w:rsid w:val="00391005"/>
    <w:rsid w:val="003D7C64"/>
    <w:rsid w:val="00403023"/>
    <w:rsid w:val="00415F30"/>
    <w:rsid w:val="00416290"/>
    <w:rsid w:val="004315D7"/>
    <w:rsid w:val="00457CA6"/>
    <w:rsid w:val="0048372B"/>
    <w:rsid w:val="00494FEC"/>
    <w:rsid w:val="004A66DD"/>
    <w:rsid w:val="004A746E"/>
    <w:rsid w:val="004B38DB"/>
    <w:rsid w:val="004C1281"/>
    <w:rsid w:val="004D165D"/>
    <w:rsid w:val="004E555C"/>
    <w:rsid w:val="004F351B"/>
    <w:rsid w:val="004F59A2"/>
    <w:rsid w:val="004F7207"/>
    <w:rsid w:val="0053330F"/>
    <w:rsid w:val="005518CE"/>
    <w:rsid w:val="00571A6F"/>
    <w:rsid w:val="00587901"/>
    <w:rsid w:val="005D6F64"/>
    <w:rsid w:val="00613566"/>
    <w:rsid w:val="00627362"/>
    <w:rsid w:val="006534EA"/>
    <w:rsid w:val="006545FB"/>
    <w:rsid w:val="006576F2"/>
    <w:rsid w:val="00657D13"/>
    <w:rsid w:val="00663F7B"/>
    <w:rsid w:val="006676B2"/>
    <w:rsid w:val="00687466"/>
    <w:rsid w:val="00690515"/>
    <w:rsid w:val="0069456D"/>
    <w:rsid w:val="006B61B2"/>
    <w:rsid w:val="006C451B"/>
    <w:rsid w:val="006C5696"/>
    <w:rsid w:val="006E10FD"/>
    <w:rsid w:val="006E2DC1"/>
    <w:rsid w:val="0070790F"/>
    <w:rsid w:val="007A6A01"/>
    <w:rsid w:val="007B0664"/>
    <w:rsid w:val="007C1C80"/>
    <w:rsid w:val="007D244C"/>
    <w:rsid w:val="007F3D41"/>
    <w:rsid w:val="00817168"/>
    <w:rsid w:val="00827F20"/>
    <w:rsid w:val="008520B4"/>
    <w:rsid w:val="00875DFA"/>
    <w:rsid w:val="008A42B1"/>
    <w:rsid w:val="008A432C"/>
    <w:rsid w:val="008C406C"/>
    <w:rsid w:val="008D03CB"/>
    <w:rsid w:val="008D1D40"/>
    <w:rsid w:val="008D1E44"/>
    <w:rsid w:val="008D3058"/>
    <w:rsid w:val="008F0B0A"/>
    <w:rsid w:val="009230C1"/>
    <w:rsid w:val="00943CF8"/>
    <w:rsid w:val="00963037"/>
    <w:rsid w:val="00967532"/>
    <w:rsid w:val="00967F66"/>
    <w:rsid w:val="00973544"/>
    <w:rsid w:val="0099105B"/>
    <w:rsid w:val="00996D90"/>
    <w:rsid w:val="009B328A"/>
    <w:rsid w:val="009C28D5"/>
    <w:rsid w:val="009C5379"/>
    <w:rsid w:val="009C7238"/>
    <w:rsid w:val="009D1B2E"/>
    <w:rsid w:val="009E0A38"/>
    <w:rsid w:val="009E6929"/>
    <w:rsid w:val="00A30E6B"/>
    <w:rsid w:val="00A3226C"/>
    <w:rsid w:val="00A53BDE"/>
    <w:rsid w:val="00A845E6"/>
    <w:rsid w:val="00A92360"/>
    <w:rsid w:val="00A963E9"/>
    <w:rsid w:val="00B00CB8"/>
    <w:rsid w:val="00B02FB1"/>
    <w:rsid w:val="00B163C9"/>
    <w:rsid w:val="00B22A13"/>
    <w:rsid w:val="00B32EA7"/>
    <w:rsid w:val="00B53582"/>
    <w:rsid w:val="00B62329"/>
    <w:rsid w:val="00B659D2"/>
    <w:rsid w:val="00B94356"/>
    <w:rsid w:val="00BD26DF"/>
    <w:rsid w:val="00BD6835"/>
    <w:rsid w:val="00BF55C8"/>
    <w:rsid w:val="00C12AFE"/>
    <w:rsid w:val="00C13780"/>
    <w:rsid w:val="00C1466F"/>
    <w:rsid w:val="00C23ADF"/>
    <w:rsid w:val="00C26BAC"/>
    <w:rsid w:val="00C30086"/>
    <w:rsid w:val="00C377F7"/>
    <w:rsid w:val="00C4331B"/>
    <w:rsid w:val="00C53673"/>
    <w:rsid w:val="00C57FBF"/>
    <w:rsid w:val="00CB6167"/>
    <w:rsid w:val="00CC1AEA"/>
    <w:rsid w:val="00CD5729"/>
    <w:rsid w:val="00CF3E30"/>
    <w:rsid w:val="00D654A7"/>
    <w:rsid w:val="00D723AE"/>
    <w:rsid w:val="00D72A86"/>
    <w:rsid w:val="00DD3A6C"/>
    <w:rsid w:val="00DF1E9C"/>
    <w:rsid w:val="00E14D01"/>
    <w:rsid w:val="00E36BCF"/>
    <w:rsid w:val="00E37EFE"/>
    <w:rsid w:val="00E60756"/>
    <w:rsid w:val="00E60C23"/>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D21C7"/>
    <w:rsid w:val="00FD74F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hyperlink" Target="http://www.uwgb.edu/dutchs/usefuldata/ConvertUTMNoOZ.HTM"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hyperlink" Target="http://www.iforce2d.net/b2dtut/top-down-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C0699201-71C2-4A5E-A3B6-39DABB3A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5135</Words>
  <Characters>32352</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37413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3</cp:revision>
  <cp:lastPrinted>2016-06-01T17:17:00Z</cp:lastPrinted>
  <dcterms:created xsi:type="dcterms:W3CDTF">2016-06-10T16:30:00Z</dcterms:created>
  <dcterms:modified xsi:type="dcterms:W3CDTF">2016-07-05T15:02:00Z</dcterms:modified>
</cp:coreProperties>
</file>