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83B" w:rsidRPr="00200557" w:rsidRDefault="000D0C2D" w:rsidP="000D0C2D">
      <w:pPr>
        <w:rPr>
          <w:rFonts w:asciiTheme="majorHAnsi" w:hAnsiTheme="majorHAnsi" w:cstheme="majorHAnsi"/>
        </w:rPr>
      </w:pPr>
      <w:r w:rsidRPr="00200557">
        <w:rPr>
          <w:rFonts w:asciiTheme="majorHAnsi" w:hAnsiTheme="majorHAnsi" w:cstheme="majorHAnsi"/>
        </w:rPr>
        <w:t xml:space="preserve">Map Design Outline—storymap format, scrolling side panels with a </w:t>
      </w:r>
      <w:r w:rsidR="005467C1" w:rsidRPr="00200557">
        <w:rPr>
          <w:rFonts w:asciiTheme="majorHAnsi" w:hAnsiTheme="majorHAnsi" w:cstheme="majorHAnsi"/>
        </w:rPr>
        <w:t>map that updates in the background</w:t>
      </w:r>
    </w:p>
    <w:p w:rsidR="000B583B" w:rsidRPr="00200557" w:rsidRDefault="000B583B" w:rsidP="000B583B">
      <w:pPr>
        <w:pStyle w:val="ListParagraph"/>
        <w:numPr>
          <w:ilvl w:val="0"/>
          <w:numId w:val="29"/>
        </w:numPr>
        <w:rPr>
          <w:rFonts w:asciiTheme="majorHAnsi" w:hAnsiTheme="majorHAnsi" w:cstheme="majorHAnsi"/>
        </w:rPr>
      </w:pPr>
      <w:r w:rsidRPr="00200557">
        <w:rPr>
          <w:rFonts w:asciiTheme="majorHAnsi" w:hAnsiTheme="majorHAnsi" w:cstheme="majorHAnsi"/>
        </w:rPr>
        <w:t>Intro about pollution in gene</w:t>
      </w:r>
      <w:r w:rsidR="00115F9E" w:rsidRPr="00200557">
        <w:rPr>
          <w:rFonts w:asciiTheme="majorHAnsi" w:hAnsiTheme="majorHAnsi" w:cstheme="majorHAnsi"/>
        </w:rPr>
        <w:t>ral: different types, the EPA—map shows EPA regions</w:t>
      </w:r>
      <w:r w:rsidR="00E755F0" w:rsidRPr="00200557">
        <w:rPr>
          <w:rFonts w:asciiTheme="majorHAnsi" w:hAnsiTheme="majorHAnsi" w:cstheme="majorHAnsi"/>
        </w:rPr>
        <w:t>, introduce the TRI and Superfund Program</w:t>
      </w:r>
    </w:p>
    <w:p w:rsidR="00200557" w:rsidRPr="00200557" w:rsidRDefault="000B583B" w:rsidP="00200557">
      <w:pPr>
        <w:pStyle w:val="ListParagraph"/>
        <w:numPr>
          <w:ilvl w:val="0"/>
          <w:numId w:val="29"/>
        </w:numPr>
        <w:rPr>
          <w:rFonts w:asciiTheme="majorHAnsi" w:hAnsiTheme="majorHAnsi" w:cstheme="majorHAnsi"/>
        </w:rPr>
      </w:pPr>
      <w:r w:rsidRPr="00200557">
        <w:rPr>
          <w:rFonts w:asciiTheme="majorHAnsi" w:hAnsiTheme="majorHAnsi" w:cstheme="majorHAnsi"/>
        </w:rPr>
        <w:t xml:space="preserve">TRI inventory </w:t>
      </w:r>
      <w:r w:rsidR="00E755F0" w:rsidRPr="00200557">
        <w:rPr>
          <w:rFonts w:asciiTheme="majorHAnsi" w:hAnsiTheme="majorHAnsi" w:cstheme="majorHAnsi"/>
        </w:rPr>
        <w:t>introduction</w:t>
      </w:r>
      <w:r w:rsidRPr="00200557">
        <w:rPr>
          <w:rFonts w:asciiTheme="majorHAnsi" w:hAnsiTheme="majorHAnsi" w:cstheme="majorHAnsi"/>
        </w:rPr>
        <w:t>- show general location of all TRI sites</w:t>
      </w:r>
      <w:r w:rsidR="00115F9E" w:rsidRPr="00200557">
        <w:rPr>
          <w:rFonts w:asciiTheme="majorHAnsi" w:hAnsiTheme="majorHAnsi" w:cstheme="majorHAnsi"/>
        </w:rPr>
        <w:t xml:space="preserve"> (cluster</w:t>
      </w:r>
      <w:r w:rsidR="00E755F0" w:rsidRPr="00200557">
        <w:rPr>
          <w:rFonts w:asciiTheme="majorHAnsi" w:hAnsiTheme="majorHAnsi" w:cstheme="majorHAnsi"/>
        </w:rPr>
        <w:t>e</w:t>
      </w:r>
      <w:r w:rsidR="00115F9E" w:rsidRPr="00200557">
        <w:rPr>
          <w:rFonts w:asciiTheme="majorHAnsi" w:hAnsiTheme="majorHAnsi" w:cstheme="majorHAnsi"/>
        </w:rPr>
        <w:t>d)</w:t>
      </w:r>
    </w:p>
    <w:p w:rsidR="00E755F0" w:rsidRPr="00200557" w:rsidRDefault="00E755F0" w:rsidP="00E755F0">
      <w:pPr>
        <w:pStyle w:val="ListParagraph"/>
        <w:numPr>
          <w:ilvl w:val="0"/>
          <w:numId w:val="29"/>
        </w:numPr>
        <w:rPr>
          <w:rFonts w:asciiTheme="majorHAnsi" w:hAnsiTheme="majorHAnsi" w:cstheme="majorHAnsi"/>
        </w:rPr>
      </w:pPr>
      <w:r w:rsidRPr="00200557">
        <w:rPr>
          <w:rFonts w:asciiTheme="majorHAnsi" w:hAnsiTheme="majorHAnsi" w:cstheme="majorHAnsi"/>
        </w:rPr>
        <w:t>Superfund sites- show general location and info about program (clustered) The sites shown are on the NPL, with a hazard ranking score above 28.5</w:t>
      </w:r>
      <w:bookmarkStart w:id="0" w:name="_GoBack"/>
      <w:bookmarkEnd w:id="0"/>
    </w:p>
    <w:p w:rsidR="00E755F0" w:rsidRPr="00200557" w:rsidRDefault="00E755F0" w:rsidP="00E755F0">
      <w:pPr>
        <w:pStyle w:val="ListParagraph"/>
        <w:numPr>
          <w:ilvl w:val="0"/>
          <w:numId w:val="29"/>
        </w:numPr>
        <w:rPr>
          <w:rFonts w:asciiTheme="majorHAnsi" w:hAnsiTheme="majorHAnsi" w:cstheme="majorHAnsi"/>
        </w:rPr>
      </w:pPr>
      <w:r w:rsidRPr="00200557">
        <w:rPr>
          <w:rFonts w:asciiTheme="majorHAnsi" w:hAnsiTheme="majorHAnsi" w:cstheme="majorHAnsi"/>
        </w:rPr>
        <w:t>Where are all these sites concentrated? hexgrid choropleth showin</w:t>
      </w:r>
      <w:r w:rsidR="008F6800" w:rsidRPr="00200557">
        <w:rPr>
          <w:rFonts w:asciiTheme="majorHAnsi" w:hAnsiTheme="majorHAnsi" w:cstheme="majorHAnsi"/>
        </w:rPr>
        <w:t>g total site density</w:t>
      </w:r>
    </w:p>
    <w:p w:rsidR="00E755F0" w:rsidRPr="00200557" w:rsidRDefault="00E755F0" w:rsidP="00E755F0">
      <w:pPr>
        <w:pStyle w:val="ListParagraph"/>
        <w:numPr>
          <w:ilvl w:val="0"/>
          <w:numId w:val="29"/>
        </w:numPr>
        <w:rPr>
          <w:rFonts w:asciiTheme="majorHAnsi" w:hAnsiTheme="majorHAnsi" w:cstheme="majorHAnsi"/>
        </w:rPr>
      </w:pPr>
      <w:r w:rsidRPr="00200557">
        <w:rPr>
          <w:rFonts w:asciiTheme="majorHAnsi" w:hAnsiTheme="majorHAnsi" w:cstheme="majorHAnsi"/>
        </w:rPr>
        <w:t>What does the TRI monitor? Look at total lbs released vs risk score. How risk assessment has to take other factors than just amount into consideration- RSEI scores, graduated circles, dropdown between total release in pounds and RSEI scores to show how total release doesn’t necessarily convey the total risk or hazard</w:t>
      </w:r>
    </w:p>
    <w:p w:rsidR="00E755F0" w:rsidRPr="00200557" w:rsidRDefault="00E755F0" w:rsidP="00E755F0">
      <w:pPr>
        <w:pStyle w:val="ListParagraph"/>
        <w:numPr>
          <w:ilvl w:val="0"/>
          <w:numId w:val="29"/>
        </w:numPr>
        <w:rPr>
          <w:rFonts w:asciiTheme="majorHAnsi" w:hAnsiTheme="majorHAnsi" w:cstheme="majorHAnsi"/>
        </w:rPr>
      </w:pPr>
      <w:r w:rsidRPr="00200557">
        <w:rPr>
          <w:rFonts w:asciiTheme="majorHAnsi" w:hAnsiTheme="majorHAnsi" w:cstheme="majorHAnsi"/>
        </w:rPr>
        <w:t>For example, Harris County Texas has the highest total RSEI score</w:t>
      </w:r>
    </w:p>
    <w:p w:rsidR="00E755F0" w:rsidRPr="00200557" w:rsidRDefault="00E755F0" w:rsidP="00E755F0">
      <w:pPr>
        <w:pStyle w:val="ListParagraph"/>
        <w:numPr>
          <w:ilvl w:val="1"/>
          <w:numId w:val="29"/>
        </w:numPr>
        <w:rPr>
          <w:rFonts w:asciiTheme="majorHAnsi" w:hAnsiTheme="majorHAnsi" w:cstheme="majorHAnsi"/>
        </w:rPr>
      </w:pPr>
      <w:r w:rsidRPr="00200557">
        <w:rPr>
          <w:rFonts w:asciiTheme="majorHAnsi" w:hAnsiTheme="majorHAnsi" w:cstheme="majorHAnsi"/>
        </w:rPr>
        <w:t>Show all TRI facilities in the county, graduated circles based on score</w:t>
      </w:r>
    </w:p>
    <w:p w:rsidR="00E755F0" w:rsidRPr="00200557" w:rsidRDefault="00E755F0" w:rsidP="00E755F0">
      <w:pPr>
        <w:pStyle w:val="ListParagraph"/>
        <w:numPr>
          <w:ilvl w:val="1"/>
          <w:numId w:val="29"/>
        </w:numPr>
        <w:rPr>
          <w:rFonts w:asciiTheme="majorHAnsi" w:hAnsiTheme="majorHAnsi" w:cstheme="majorHAnsi"/>
        </w:rPr>
      </w:pPr>
      <w:r w:rsidRPr="00200557">
        <w:rPr>
          <w:rFonts w:asciiTheme="majorHAnsi" w:hAnsiTheme="majorHAnsi" w:cstheme="majorHAnsi"/>
        </w:rPr>
        <w:t>bring in ethylene oxide releasing facilities that are causing the high score—bring in air quality for Texas census tracts, show reach of air pollution</w:t>
      </w:r>
    </w:p>
    <w:p w:rsidR="00E755F0" w:rsidRPr="00200557" w:rsidRDefault="008F6800" w:rsidP="00E755F0">
      <w:pPr>
        <w:pStyle w:val="ListParagraph"/>
        <w:numPr>
          <w:ilvl w:val="0"/>
          <w:numId w:val="29"/>
        </w:numPr>
        <w:rPr>
          <w:rFonts w:asciiTheme="majorHAnsi" w:hAnsiTheme="majorHAnsi" w:cstheme="majorHAnsi"/>
        </w:rPr>
      </w:pPr>
      <w:r w:rsidRPr="00200557">
        <w:rPr>
          <w:rFonts w:asciiTheme="majorHAnsi" w:hAnsiTheme="majorHAnsi" w:cstheme="majorHAnsi"/>
        </w:rPr>
        <w:t>After Houston, which is in Harris County, Chicago has the next highest RSEI score-look at census data for vulnerable populations underneath TRI facilities (symbolized by graduated circles)</w:t>
      </w:r>
    </w:p>
    <w:p w:rsidR="00200557" w:rsidRPr="00200557" w:rsidRDefault="00200557" w:rsidP="00200557">
      <w:pPr>
        <w:pStyle w:val="ListParagraph"/>
        <w:numPr>
          <w:ilvl w:val="0"/>
          <w:numId w:val="29"/>
        </w:numPr>
        <w:rPr>
          <w:rFonts w:asciiTheme="majorHAnsi" w:hAnsiTheme="majorHAnsi" w:cstheme="majorHAnsi"/>
        </w:rPr>
      </w:pPr>
      <w:r w:rsidRPr="00200557">
        <w:rPr>
          <w:rFonts w:asciiTheme="majorHAnsi" w:hAnsiTheme="majorHAnsi" w:cstheme="majorHAnsi"/>
        </w:rPr>
        <w:t>Who is operating these facilities—parent company map—narrative about different industries, bar graph of breakdown?</w:t>
      </w:r>
      <w:r w:rsidRPr="00200557">
        <w:rPr>
          <w:rFonts w:asciiTheme="majorHAnsi" w:hAnsiTheme="majorHAnsi" w:cstheme="majorHAnsi"/>
        </w:rPr>
        <w:t xml:space="preserve"> </w:t>
      </w:r>
    </w:p>
    <w:p w:rsidR="00E755F0" w:rsidRPr="00200557" w:rsidRDefault="00200557" w:rsidP="00200557">
      <w:pPr>
        <w:pStyle w:val="ListParagraph"/>
        <w:numPr>
          <w:ilvl w:val="0"/>
          <w:numId w:val="29"/>
        </w:numPr>
        <w:rPr>
          <w:rFonts w:asciiTheme="majorHAnsi" w:hAnsiTheme="majorHAnsi" w:cstheme="majorHAnsi"/>
        </w:rPr>
      </w:pPr>
      <w:r w:rsidRPr="00200557">
        <w:rPr>
          <w:rFonts w:asciiTheme="majorHAnsi" w:hAnsiTheme="majorHAnsi" w:cstheme="majorHAnsi"/>
        </w:rPr>
        <w:t>Superfund sites on the other hand are mostly the result of facilities that are no longer in service and that operated prior to EPA regulations, leaving toxic waste behind. These sites are all highly</w:t>
      </w:r>
      <w:r w:rsidR="00E755F0" w:rsidRPr="00200557">
        <w:rPr>
          <w:rFonts w:asciiTheme="majorHAnsi" w:hAnsiTheme="majorHAnsi" w:cstheme="majorHAnsi"/>
        </w:rPr>
        <w:t xml:space="preserve"> contaminated but some are more serious than others. The </w:t>
      </w:r>
      <w:r w:rsidRPr="00200557">
        <w:rPr>
          <w:rFonts w:asciiTheme="majorHAnsi" w:hAnsiTheme="majorHAnsi" w:cstheme="majorHAnsi"/>
        </w:rPr>
        <w:t xml:space="preserve">Superfund </w:t>
      </w:r>
      <w:r w:rsidR="00E755F0" w:rsidRPr="00200557">
        <w:rPr>
          <w:rFonts w:asciiTheme="majorHAnsi" w:hAnsiTheme="majorHAnsi" w:cstheme="majorHAnsi"/>
        </w:rPr>
        <w:t>program classifies sites as to whether or not they have groundwater mitigatio</w:t>
      </w:r>
      <w:r w:rsidRPr="00200557">
        <w:rPr>
          <w:rFonts w:asciiTheme="majorHAnsi" w:hAnsiTheme="majorHAnsi" w:cstheme="majorHAnsi"/>
        </w:rPr>
        <w:t>n/human exposure under control and HRS score helps classify which pose the most risk-show sites that don’t have at least one factor under control, symbolized with graduated circles according to HRS score. Then zoom into 3 different Superfund Site stories:</w:t>
      </w:r>
    </w:p>
    <w:p w:rsidR="00E755F0" w:rsidRPr="00200557" w:rsidRDefault="00E755F0" w:rsidP="00E755F0">
      <w:pPr>
        <w:pStyle w:val="ListParagraph"/>
        <w:numPr>
          <w:ilvl w:val="1"/>
          <w:numId w:val="29"/>
        </w:numPr>
        <w:rPr>
          <w:rFonts w:asciiTheme="majorHAnsi" w:hAnsiTheme="majorHAnsi" w:cstheme="majorHAnsi"/>
        </w:rPr>
      </w:pPr>
      <w:r w:rsidRPr="00200557">
        <w:rPr>
          <w:rFonts w:asciiTheme="majorHAnsi" w:hAnsiTheme="majorHAnsi" w:cstheme="majorHAnsi"/>
          <w:color w:val="000000"/>
        </w:rPr>
        <w:t>GE - Housatonic River in Pittsfield MA-clean-up activities scheduled all the way down Housatonic river through Connecticut (</w:t>
      </w:r>
      <w:hyperlink r:id="rId5" w:history="1">
        <w:r w:rsidRPr="00200557">
          <w:rPr>
            <w:rStyle w:val="Hyperlink"/>
            <w:rFonts w:asciiTheme="majorHAnsi" w:hAnsiTheme="majorHAnsi" w:cstheme="majorHAnsi"/>
          </w:rPr>
          <w:t>https://semspub.epa.gov/work/01/644045.pdf</w:t>
        </w:r>
      </w:hyperlink>
      <w:r w:rsidRPr="00200557">
        <w:rPr>
          <w:rFonts w:asciiTheme="majorHAnsi" w:hAnsiTheme="majorHAnsi" w:cstheme="majorHAnsi"/>
        </w:rPr>
        <w:t>)</w:t>
      </w:r>
    </w:p>
    <w:p w:rsidR="00E755F0" w:rsidRPr="00200557" w:rsidRDefault="00E755F0" w:rsidP="00E755F0">
      <w:pPr>
        <w:pStyle w:val="ListParagraph"/>
        <w:numPr>
          <w:ilvl w:val="2"/>
          <w:numId w:val="29"/>
        </w:numPr>
        <w:rPr>
          <w:rFonts w:asciiTheme="majorHAnsi" w:hAnsiTheme="majorHAnsi" w:cstheme="majorHAnsi"/>
        </w:rPr>
      </w:pPr>
      <w:r w:rsidRPr="00200557">
        <w:rPr>
          <w:rFonts w:asciiTheme="majorHAnsi" w:hAnsiTheme="majorHAnsi" w:cstheme="majorHAnsi"/>
        </w:rPr>
        <w:t>First zoom to site and talk about contamination there,</w:t>
      </w:r>
    </w:p>
    <w:p w:rsidR="00E755F0" w:rsidRPr="00200557" w:rsidRDefault="00E755F0" w:rsidP="00E755F0">
      <w:pPr>
        <w:pStyle w:val="ListParagraph"/>
        <w:numPr>
          <w:ilvl w:val="2"/>
          <w:numId w:val="29"/>
        </w:numPr>
        <w:rPr>
          <w:rFonts w:asciiTheme="majorHAnsi" w:hAnsiTheme="majorHAnsi" w:cstheme="majorHAnsi"/>
        </w:rPr>
      </w:pPr>
      <w:r w:rsidRPr="00200557">
        <w:rPr>
          <w:rFonts w:asciiTheme="majorHAnsi" w:hAnsiTheme="majorHAnsi" w:cstheme="majorHAnsi"/>
        </w:rPr>
        <w:t xml:space="preserve"> then zoom all the way out to river and mention how contaminants travelled.</w:t>
      </w:r>
    </w:p>
    <w:p w:rsidR="00E755F0" w:rsidRPr="00200557" w:rsidRDefault="00E755F0" w:rsidP="00E755F0">
      <w:pPr>
        <w:pStyle w:val="ListParagraph"/>
        <w:numPr>
          <w:ilvl w:val="1"/>
          <w:numId w:val="29"/>
        </w:numPr>
        <w:rPr>
          <w:rFonts w:asciiTheme="majorHAnsi" w:hAnsiTheme="majorHAnsi" w:cstheme="majorHAnsi"/>
        </w:rPr>
      </w:pPr>
      <w:r w:rsidRPr="00200557">
        <w:rPr>
          <w:rFonts w:asciiTheme="majorHAnsi" w:hAnsiTheme="majorHAnsi" w:cstheme="majorHAnsi"/>
          <w:color w:val="000000"/>
        </w:rPr>
        <w:t>Zoom to Depue/New Jersey Zinc/Mobil Chemical Corp. in Depue IL-info-georeferenced site map showing outlines (</w:t>
      </w:r>
      <w:hyperlink r:id="rId6" w:history="1">
        <w:r w:rsidRPr="00200557">
          <w:rPr>
            <w:rStyle w:val="Hyperlink"/>
            <w:rFonts w:asciiTheme="majorHAnsi" w:hAnsiTheme="majorHAnsi" w:cstheme="majorHAnsi"/>
          </w:rPr>
          <w:t>https://www2.illinois.gov/epa/topics/community-relations/sites/new-jersey-zinc/Pages/default.aspx</w:t>
        </w:r>
      </w:hyperlink>
      <w:r w:rsidRPr="00200557">
        <w:rPr>
          <w:rFonts w:asciiTheme="majorHAnsi" w:hAnsiTheme="majorHAnsi" w:cstheme="majorHAnsi"/>
        </w:rPr>
        <w:t>)</w:t>
      </w:r>
    </w:p>
    <w:p w:rsidR="00E755F0" w:rsidRPr="00200557" w:rsidRDefault="00200557" w:rsidP="00E755F0">
      <w:pPr>
        <w:pStyle w:val="ListParagraph"/>
        <w:numPr>
          <w:ilvl w:val="2"/>
          <w:numId w:val="29"/>
        </w:numPr>
        <w:rPr>
          <w:rFonts w:asciiTheme="majorHAnsi" w:hAnsiTheme="majorHAnsi" w:cstheme="majorHAnsi"/>
        </w:rPr>
      </w:pPr>
      <w:r w:rsidRPr="00200557">
        <w:rPr>
          <w:rFonts w:asciiTheme="majorHAnsi" w:hAnsiTheme="majorHAnsi" w:cstheme="majorHAnsi"/>
        </w:rPr>
        <w:t>Zoom to area</w:t>
      </w:r>
    </w:p>
    <w:p w:rsidR="00E755F0" w:rsidRPr="00200557" w:rsidRDefault="00200557" w:rsidP="00E755F0">
      <w:pPr>
        <w:pStyle w:val="ListParagraph"/>
        <w:numPr>
          <w:ilvl w:val="1"/>
          <w:numId w:val="29"/>
        </w:numPr>
        <w:rPr>
          <w:rFonts w:asciiTheme="majorHAnsi" w:hAnsiTheme="majorHAnsi" w:cstheme="majorHAnsi"/>
        </w:rPr>
      </w:pPr>
      <w:r w:rsidRPr="00200557">
        <w:rPr>
          <w:rFonts w:asciiTheme="majorHAnsi" w:hAnsiTheme="majorHAnsi" w:cstheme="majorHAnsi"/>
          <w:color w:val="000000"/>
        </w:rPr>
        <w:t>Old Lead Mining Belt in Missouri-7 Superfund NPL sites encompass 4 entire counties in Missouri.</w:t>
      </w:r>
    </w:p>
    <w:p w:rsidR="00E755F0" w:rsidRPr="00200557" w:rsidRDefault="00200557" w:rsidP="00E755F0">
      <w:pPr>
        <w:pStyle w:val="ListParagraph"/>
        <w:numPr>
          <w:ilvl w:val="2"/>
          <w:numId w:val="29"/>
        </w:numPr>
        <w:rPr>
          <w:rFonts w:asciiTheme="majorHAnsi" w:hAnsiTheme="majorHAnsi" w:cstheme="majorHAnsi"/>
        </w:rPr>
      </w:pPr>
      <w:r w:rsidRPr="00200557">
        <w:rPr>
          <w:rFonts w:asciiTheme="majorHAnsi" w:hAnsiTheme="majorHAnsi" w:cstheme="majorHAnsi"/>
        </w:rPr>
        <w:t>Zoom to area and discuss</w:t>
      </w:r>
    </w:p>
    <w:p w:rsidR="00200557" w:rsidRPr="00200557" w:rsidRDefault="00200557" w:rsidP="00E755F0">
      <w:pPr>
        <w:pStyle w:val="ListParagraph"/>
        <w:numPr>
          <w:ilvl w:val="2"/>
          <w:numId w:val="29"/>
        </w:numPr>
        <w:rPr>
          <w:rFonts w:asciiTheme="majorHAnsi" w:hAnsiTheme="majorHAnsi" w:cstheme="majorHAnsi"/>
        </w:rPr>
      </w:pPr>
      <w:r w:rsidRPr="00200557">
        <w:rPr>
          <w:rFonts w:asciiTheme="majorHAnsi" w:hAnsiTheme="majorHAnsi" w:cstheme="majorHAnsi"/>
        </w:rPr>
        <w:t>Then bring in TRI facilities that still contribute to pollution here</w:t>
      </w:r>
    </w:p>
    <w:p w:rsidR="00E755F0" w:rsidRPr="00200557" w:rsidRDefault="00200557" w:rsidP="00E755F0">
      <w:pPr>
        <w:pStyle w:val="ListParagraph"/>
        <w:numPr>
          <w:ilvl w:val="0"/>
          <w:numId w:val="29"/>
        </w:numPr>
        <w:rPr>
          <w:rFonts w:asciiTheme="majorHAnsi" w:hAnsiTheme="majorHAnsi" w:cstheme="majorHAnsi"/>
        </w:rPr>
      </w:pPr>
      <w:r w:rsidRPr="00200557">
        <w:rPr>
          <w:rFonts w:asciiTheme="majorHAnsi" w:hAnsiTheme="majorHAnsi" w:cstheme="majorHAnsi"/>
        </w:rPr>
        <w:t xml:space="preserve">How does this affect you? </w:t>
      </w:r>
      <w:r w:rsidR="00CF2CE8" w:rsidRPr="00200557">
        <w:rPr>
          <w:rFonts w:asciiTheme="majorHAnsi" w:hAnsiTheme="majorHAnsi" w:cstheme="majorHAnsi"/>
        </w:rPr>
        <w:t>Address search—create buffer around point,</w:t>
      </w:r>
      <w:r w:rsidR="00831C69" w:rsidRPr="00200557">
        <w:rPr>
          <w:rFonts w:asciiTheme="majorHAnsi" w:hAnsiTheme="majorHAnsi" w:cstheme="majorHAnsi"/>
        </w:rPr>
        <w:t xml:space="preserve"> find TRI facilities with buffer populate info box with release total release amounts and scores, </w:t>
      </w:r>
      <w:r w:rsidR="009865B3" w:rsidRPr="00200557">
        <w:rPr>
          <w:rFonts w:asciiTheme="majorHAnsi" w:hAnsiTheme="majorHAnsi" w:cstheme="majorHAnsi"/>
        </w:rPr>
        <w:t>find Superfund sites within buffer, and show distance to closest one</w:t>
      </w:r>
      <w:r w:rsidR="00831C69" w:rsidRPr="00200557">
        <w:rPr>
          <w:rFonts w:asciiTheme="majorHAnsi" w:hAnsiTheme="majorHAnsi" w:cstheme="majorHAnsi"/>
        </w:rPr>
        <w:t xml:space="preserve"> (link to site’s webpage)</w:t>
      </w:r>
    </w:p>
    <w:sectPr w:rsidR="00E755F0" w:rsidRPr="00200557" w:rsidSect="000238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3805"/>
    <w:multiLevelType w:val="hybridMultilevel"/>
    <w:tmpl w:val="B6927470"/>
    <w:lvl w:ilvl="0" w:tplc="1E9CA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B77FE"/>
    <w:multiLevelType w:val="hybridMultilevel"/>
    <w:tmpl w:val="A63E1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C7F97"/>
    <w:multiLevelType w:val="hybridMultilevel"/>
    <w:tmpl w:val="B92A1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B662B"/>
    <w:multiLevelType w:val="hybridMultilevel"/>
    <w:tmpl w:val="2CC4C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676A6"/>
    <w:multiLevelType w:val="hybridMultilevel"/>
    <w:tmpl w:val="2CC4C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65BAE"/>
    <w:multiLevelType w:val="hybridMultilevel"/>
    <w:tmpl w:val="2CC4C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913AB6"/>
    <w:multiLevelType w:val="hybridMultilevel"/>
    <w:tmpl w:val="12DE5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CD03D2"/>
    <w:multiLevelType w:val="hybridMultilevel"/>
    <w:tmpl w:val="2CC4C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564195"/>
    <w:multiLevelType w:val="hybridMultilevel"/>
    <w:tmpl w:val="2CC4C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224E2E"/>
    <w:multiLevelType w:val="hybridMultilevel"/>
    <w:tmpl w:val="54640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4663E5"/>
    <w:multiLevelType w:val="hybridMultilevel"/>
    <w:tmpl w:val="09263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972E44"/>
    <w:multiLevelType w:val="hybridMultilevel"/>
    <w:tmpl w:val="1D84C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6C3F69"/>
    <w:multiLevelType w:val="hybridMultilevel"/>
    <w:tmpl w:val="2CC4C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C87AEE"/>
    <w:multiLevelType w:val="hybridMultilevel"/>
    <w:tmpl w:val="B71E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CA1A31"/>
    <w:multiLevelType w:val="hybridMultilevel"/>
    <w:tmpl w:val="2CC4C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076551"/>
    <w:multiLevelType w:val="hybridMultilevel"/>
    <w:tmpl w:val="2CC4C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7A5870"/>
    <w:multiLevelType w:val="hybridMultilevel"/>
    <w:tmpl w:val="2CC4C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FA7FE4"/>
    <w:multiLevelType w:val="hybridMultilevel"/>
    <w:tmpl w:val="65527E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114C66"/>
    <w:multiLevelType w:val="hybridMultilevel"/>
    <w:tmpl w:val="EA462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40232C"/>
    <w:multiLevelType w:val="hybridMultilevel"/>
    <w:tmpl w:val="2CC4C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BB0169"/>
    <w:multiLevelType w:val="hybridMultilevel"/>
    <w:tmpl w:val="2CC4C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352EE1"/>
    <w:multiLevelType w:val="hybridMultilevel"/>
    <w:tmpl w:val="9C96A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A340AE"/>
    <w:multiLevelType w:val="hybridMultilevel"/>
    <w:tmpl w:val="3E548B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BF708A"/>
    <w:multiLevelType w:val="hybridMultilevel"/>
    <w:tmpl w:val="2CC4C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E47259"/>
    <w:multiLevelType w:val="hybridMultilevel"/>
    <w:tmpl w:val="22BCE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490C27"/>
    <w:multiLevelType w:val="hybridMultilevel"/>
    <w:tmpl w:val="87924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844878"/>
    <w:multiLevelType w:val="hybridMultilevel"/>
    <w:tmpl w:val="2CC4C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C95B77"/>
    <w:multiLevelType w:val="hybridMultilevel"/>
    <w:tmpl w:val="2CC4C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804CFD"/>
    <w:multiLevelType w:val="hybridMultilevel"/>
    <w:tmpl w:val="BA24A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3"/>
  </w:num>
  <w:num w:numId="3">
    <w:abstractNumId w:val="9"/>
  </w:num>
  <w:num w:numId="4">
    <w:abstractNumId w:val="14"/>
  </w:num>
  <w:num w:numId="5">
    <w:abstractNumId w:val="3"/>
  </w:num>
  <w:num w:numId="6">
    <w:abstractNumId w:val="19"/>
  </w:num>
  <w:num w:numId="7">
    <w:abstractNumId w:val="16"/>
  </w:num>
  <w:num w:numId="8">
    <w:abstractNumId w:val="8"/>
  </w:num>
  <w:num w:numId="9">
    <w:abstractNumId w:val="4"/>
  </w:num>
  <w:num w:numId="10">
    <w:abstractNumId w:val="7"/>
  </w:num>
  <w:num w:numId="11">
    <w:abstractNumId w:val="12"/>
  </w:num>
  <w:num w:numId="12">
    <w:abstractNumId w:val="20"/>
  </w:num>
  <w:num w:numId="13">
    <w:abstractNumId w:val="15"/>
  </w:num>
  <w:num w:numId="14">
    <w:abstractNumId w:val="5"/>
  </w:num>
  <w:num w:numId="15">
    <w:abstractNumId w:val="26"/>
  </w:num>
  <w:num w:numId="16">
    <w:abstractNumId w:val="27"/>
  </w:num>
  <w:num w:numId="17">
    <w:abstractNumId w:val="11"/>
  </w:num>
  <w:num w:numId="18">
    <w:abstractNumId w:val="0"/>
  </w:num>
  <w:num w:numId="19">
    <w:abstractNumId w:val="17"/>
  </w:num>
  <w:num w:numId="20">
    <w:abstractNumId w:val="1"/>
  </w:num>
  <w:num w:numId="21">
    <w:abstractNumId w:val="24"/>
  </w:num>
  <w:num w:numId="22">
    <w:abstractNumId w:val="13"/>
  </w:num>
  <w:num w:numId="23">
    <w:abstractNumId w:val="18"/>
  </w:num>
  <w:num w:numId="24">
    <w:abstractNumId w:val="28"/>
  </w:num>
  <w:num w:numId="25">
    <w:abstractNumId w:val="10"/>
  </w:num>
  <w:num w:numId="26">
    <w:abstractNumId w:val="25"/>
  </w:num>
  <w:num w:numId="27">
    <w:abstractNumId w:val="6"/>
  </w:num>
  <w:num w:numId="28">
    <w:abstractNumId w:val="2"/>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C2D"/>
    <w:rsid w:val="00000A2E"/>
    <w:rsid w:val="00003D42"/>
    <w:rsid w:val="000238AE"/>
    <w:rsid w:val="00073D62"/>
    <w:rsid w:val="000B583B"/>
    <w:rsid w:val="000D0C2D"/>
    <w:rsid w:val="00113576"/>
    <w:rsid w:val="001158FC"/>
    <w:rsid w:val="00115F9E"/>
    <w:rsid w:val="001D6633"/>
    <w:rsid w:val="00200557"/>
    <w:rsid w:val="00213905"/>
    <w:rsid w:val="002310E1"/>
    <w:rsid w:val="00232401"/>
    <w:rsid w:val="00332C9C"/>
    <w:rsid w:val="00363F62"/>
    <w:rsid w:val="00392442"/>
    <w:rsid w:val="003F119B"/>
    <w:rsid w:val="003F411F"/>
    <w:rsid w:val="00490E8E"/>
    <w:rsid w:val="004B550A"/>
    <w:rsid w:val="004C72B6"/>
    <w:rsid w:val="00500590"/>
    <w:rsid w:val="00505523"/>
    <w:rsid w:val="00526FCE"/>
    <w:rsid w:val="005467C1"/>
    <w:rsid w:val="005964B8"/>
    <w:rsid w:val="0063783A"/>
    <w:rsid w:val="00723FD3"/>
    <w:rsid w:val="00740570"/>
    <w:rsid w:val="007B2252"/>
    <w:rsid w:val="007F2B1A"/>
    <w:rsid w:val="007F5AC1"/>
    <w:rsid w:val="00806403"/>
    <w:rsid w:val="00831C69"/>
    <w:rsid w:val="008B29E3"/>
    <w:rsid w:val="008F6800"/>
    <w:rsid w:val="0096772B"/>
    <w:rsid w:val="009865B3"/>
    <w:rsid w:val="009A0A5B"/>
    <w:rsid w:val="00A00C62"/>
    <w:rsid w:val="00A77BC4"/>
    <w:rsid w:val="00B56A91"/>
    <w:rsid w:val="00BC3489"/>
    <w:rsid w:val="00CC6038"/>
    <w:rsid w:val="00CD0438"/>
    <w:rsid w:val="00CF2CE8"/>
    <w:rsid w:val="00D14D55"/>
    <w:rsid w:val="00D858ED"/>
    <w:rsid w:val="00DB79B4"/>
    <w:rsid w:val="00DD100C"/>
    <w:rsid w:val="00E755F0"/>
    <w:rsid w:val="00EA7863"/>
    <w:rsid w:val="00EC2A1E"/>
    <w:rsid w:val="00EE2273"/>
    <w:rsid w:val="00F80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EEFDE"/>
  <w15:chartTrackingRefBased/>
  <w15:docId w15:val="{3C9B54FE-B27F-4C0B-B362-E2888BA8B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23F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C2D"/>
    <w:pPr>
      <w:ind w:left="720"/>
      <w:contextualSpacing/>
    </w:pPr>
  </w:style>
  <w:style w:type="table" w:styleId="TableGrid">
    <w:name w:val="Table Grid"/>
    <w:basedOn w:val="TableNormal"/>
    <w:uiPriority w:val="39"/>
    <w:rsid w:val="000D0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23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D6633"/>
    <w:rPr>
      <w:color w:val="0000FF"/>
      <w:u w:val="single"/>
    </w:rPr>
  </w:style>
  <w:style w:type="character" w:customStyle="1" w:styleId="Heading2Char">
    <w:name w:val="Heading 2 Char"/>
    <w:basedOn w:val="DefaultParagraphFont"/>
    <w:link w:val="Heading2"/>
    <w:uiPriority w:val="9"/>
    <w:rsid w:val="00723FD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885015">
      <w:bodyDiv w:val="1"/>
      <w:marLeft w:val="0"/>
      <w:marRight w:val="0"/>
      <w:marTop w:val="0"/>
      <w:marBottom w:val="0"/>
      <w:divBdr>
        <w:top w:val="none" w:sz="0" w:space="0" w:color="auto"/>
        <w:left w:val="none" w:sz="0" w:space="0" w:color="auto"/>
        <w:bottom w:val="none" w:sz="0" w:space="0" w:color="auto"/>
        <w:right w:val="none" w:sz="0" w:space="0" w:color="auto"/>
      </w:divBdr>
    </w:div>
    <w:div w:id="815217315">
      <w:bodyDiv w:val="1"/>
      <w:marLeft w:val="0"/>
      <w:marRight w:val="0"/>
      <w:marTop w:val="0"/>
      <w:marBottom w:val="0"/>
      <w:divBdr>
        <w:top w:val="none" w:sz="0" w:space="0" w:color="auto"/>
        <w:left w:val="none" w:sz="0" w:space="0" w:color="auto"/>
        <w:bottom w:val="none" w:sz="0" w:space="0" w:color="auto"/>
        <w:right w:val="none" w:sz="0" w:space="0" w:color="auto"/>
      </w:divBdr>
    </w:div>
    <w:div w:id="1181822807">
      <w:bodyDiv w:val="1"/>
      <w:marLeft w:val="0"/>
      <w:marRight w:val="0"/>
      <w:marTop w:val="0"/>
      <w:marBottom w:val="0"/>
      <w:divBdr>
        <w:top w:val="none" w:sz="0" w:space="0" w:color="auto"/>
        <w:left w:val="none" w:sz="0" w:space="0" w:color="auto"/>
        <w:bottom w:val="none" w:sz="0" w:space="0" w:color="auto"/>
        <w:right w:val="none" w:sz="0" w:space="0" w:color="auto"/>
      </w:divBdr>
    </w:div>
    <w:div w:id="158953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2.illinois.gov/epa/topics/community-relations/sites/new-jersey-zinc/Pages/default.aspx" TargetMode="External"/><Relationship Id="rId5" Type="http://schemas.openxmlformats.org/officeDocument/2006/relationships/hyperlink" Target="https://semspub.epa.gov/work/01/644045.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Eileen Grady</dc:creator>
  <cp:keywords/>
  <dc:description/>
  <cp:lastModifiedBy>Grady, Eileen F.</cp:lastModifiedBy>
  <cp:revision>2</cp:revision>
  <dcterms:created xsi:type="dcterms:W3CDTF">2020-03-17T19:48:00Z</dcterms:created>
  <dcterms:modified xsi:type="dcterms:W3CDTF">2020-03-17T19:48:00Z</dcterms:modified>
</cp:coreProperties>
</file>