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6" w:space="8"/>
        </w:pBdr>
        <w:spacing w:after="60"/>
      </w:pPr>
      <w:r>
        <w:rPr>
          <w:b/>
          <w:bCs/>
          <w:color w:val="1F3A5F"/>
          <w:sz w:val="34"/>
          <w:szCs w:val="34"/>
        </w:rPr>
        <w:t xml:space="preserve">F2P vs Paid: Pricing and Engagement on Steam</w:t>
      </w:r>
    </w:p>
    <w:p>
      <w:pPr>
        <w:spacing w:after="60"/>
      </w:pPr>
      <w:r>
        <w:rPr>
          <w:i/>
          <w:iCs/>
          <w:color w:val="555555"/>
          <w:sz w:val="21"/>
          <w:szCs w:val="21"/>
        </w:rPr>
        <w:t xml:space="preserve">Does going free-to-play actually buy engagement, and at what price points do paid games hold their players?</w:t>
      </w:r>
    </w:p>
    <w:p>
      <w:pPr>
        <w:spacing w:after="240"/>
      </w:pPr>
      <w:r>
        <w:rPr>
          <w:color w:val="555555"/>
          <w:sz w:val="19"/>
          <w:szCs w:val="19"/>
        </w:rPr>
        <w:t xml:space="preserve">Eileen Ip · September 2026 · 20,761 games analysed</w:t>
      </w:r>
    </w:p>
    <w:p>
      <w:pPr>
        <w:pStyle w:val="Heading1"/>
        <w:spacing w:after="130" w:before="260"/>
      </w:pPr>
      <w:r>
        <w:rPr>
          <w:color w:val="1F3A5F"/>
        </w:rPr>
        <w:t xml:space="preserve">The answer</w:t>
      </w:r>
    </w:p>
    <w:p>
      <w:pPr>
        <w:spacing w:after="140"/>
      </w:pPr>
      <w:r>
        <w:rPr>
          <w:sz w:val="21"/>
          <w:szCs w:val="21"/>
        </w:rPr>
        <w:t xml:space="preserve">Going free-to-play does not buy engagement on Steam. Across 20,761 games released since 2015, free games have a median playtime of 124 minutes against 530 minutes for paid games — a gap of more than four to one.</w:t>
      </w:r>
    </w:p>
    <w:p>
      <w:pPr>
        <w:spacing w:after="140"/>
      </w:pPr>
      <w:r>
        <w:rPr>
          <w:sz w:val="21"/>
          <w:szCs w:val="21"/>
        </w:rPr>
        <w:t xml:space="preserve">The obvious objection is that free games cluster in genres that are simply played less: a free MOBA against a paid visual novel is not a fair comparison. So I compared within genre, across the 58 genres that hold at least eight games of each pricing model. That correction was meant to shrink the gap. It widened it, from a Cliff's delta of −0.457 to −0.482.</w:t>
      </w:r>
    </w:p>
    <w:p>
      <w:pPr>
        <w:spacing w:after="140"/>
      </w:pPr>
      <w:r>
        <w:rPr>
          <w:sz w:val="21"/>
          <w:szCs w:val="21"/>
        </w:rPr>
        <w:t xml:space="preserve">The finding is therefore not that the free-to-play engagement advantage is mostly a genre effect. It is that there is no advantage to explain. Free games are played less within their own genres too.</w:t>
      </w:r>
    </w:p>
    <w:p>
      <w:pPr>
        <w:pStyle w:val="Heading1"/>
        <w:spacing w:after="130" w:before="260"/>
      </w:pPr>
      <w:r>
        <w:rPr>
          <w:color w:val="1F3A5F"/>
        </w:rPr>
        <w:t xml:space="preserve">Why the obvious analysis is worthless</w:t>
      </w:r>
    </w:p>
    <w:p>
      <w:pPr>
        <w:spacing w:after="140"/>
      </w:pPr>
      <w:r>
        <w:rPr>
          <w:sz w:val="21"/>
          <w:szCs w:val="21"/>
        </w:rPr>
        <w:t xml:space="preserve">“Free-to-play games have more owners” is a tautology, not a finding: free things get downloaded. Any study that reports it has measured the price, not the product. The question a studio actually faces is whether players who take a free game stay in it as long as players who paid for one — and whether the answer survives controlling for what kind of game it is.</w:t>
      </w:r>
    </w:p>
    <w:p>
      <w:pPr>
        <w:spacing w:after="140"/>
      </w:pPr>
      <w:r>
        <w:rPr>
          <w:sz w:val="21"/>
          <w:szCs w:val="21"/>
        </w:rPr>
        <w:t xml:space="preserve">Two decisions shaped everything downstream, and both are visible in every number below.</w:t>
      </w:r>
    </w:p>
    <w:p>
      <w:pPr>
        <w:pStyle w:val="ListParagraph"/>
        <w:numPr>
          <w:ilvl w:val="0"/>
          <w:numId w:val="2"/>
        </w:numPr>
        <w:spacing w:after="90"/>
      </w:pPr>
      <w:r>
        <w:rPr>
          <w:sz w:val="21"/>
          <w:szCs w:val="21"/>
        </w:rPr>
        <w:t xml:space="preserve">Ownership is a range, not a number. SteamSpy reports bands (“1,000,000 .. 2,000,000”) because Steam's privacy changes ended exact counts. Ownership is carried as an interval throughout, and every owner-dependent result is recomputed at the lower bound, the midpoint and the upper bound.</w:t>
      </w:r>
    </w:p>
    <w:p>
      <w:pPr>
        <w:pStyle w:val="ListParagraph"/>
        <w:numPr>
          <w:ilvl w:val="0"/>
          <w:numId w:val="2"/>
        </w:numPr>
        <w:spacing w:after="90"/>
      </w:pPr>
      <w:r>
        <w:rPr>
          <w:sz w:val="21"/>
          <w:szCs w:val="21"/>
        </w:rPr>
        <w:t xml:space="preserve">Genre had to come from user tags, not store genres. Steam's storefront genres are three broad buckets — ELDEN RING is simply “Action, RPG”. The confound this study corrects for lives at the level of MOBA against Souls-like, which only the tags capture.</w:t>
      </w:r>
    </w:p>
    <w:p>
      <w:pPr>
        <w:pStyle w:val="Heading1"/>
        <w:spacing w:after="130" w:before="260"/>
      </w:pPr>
      <w:r>
        <w:rPr>
          <w:color w:val="1F3A5F"/>
        </w:rPr>
        <w:t xml:space="preserve">The data</w:t>
      </w:r>
    </w:p>
    <w:p>
      <w:pPr>
        <w:spacing w:after="140"/>
      </w:pPr>
      <w:r>
        <w:rPr>
          <w:sz w:val="21"/>
          <w:szCs w:val="21"/>
        </w:rPr>
        <w:t xml:space="preserve">The full SteamSpy catalogue (27,021 apps) enriched app by app from the Steam storefront for AUD price, genres, release date and the free-to-play flag: 26,017 apps, 52,034 requests, 7 failures. Playtime comes from Steam review payloads — per-player figures, sampled at up to 200 reviewers per game across 3,497 games chosen to balance the comparison.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970"/>
      </w:tblGrid>
      <w:tr>
        <w:trPr>
          <w:tblHeader/>
        </w:trPr>
        <w:tc>
          <w:tcPr>
            <w:tcW w:type="dxa" w:w="2200"/>
            <w:shd w:fill="EEF2F7" w:val="clear"/>
            <w:tcMar>
              <w:top w:type="dxa" w:w="70"/>
              <w:left w:type="dxa" w:w="110"/>
              <w:bottom w:type="dxa" w:w="70"/>
              <w:right w:type="dxa" w:w="110"/>
            </w:tcMar>
          </w:tcPr>
          <w:p>
            <w:r>
              <w:rPr>
                <w:b/>
                <w:bCs/>
                <w:sz w:val="20"/>
                <w:szCs w:val="20"/>
              </w:rPr>
              <w:t xml:space="preserve">Stage</w:t>
            </w:r>
          </w:p>
        </w:tc>
        <w:tc>
          <w:tcPr>
            <w:tcW w:type="dxa" w:w="1900"/>
            <w:shd w:fill="EEF2F7" w:val="clear"/>
            <w:tcMar>
              <w:top w:type="dxa" w:w="70"/>
              <w:left w:type="dxa" w:w="110"/>
              <w:bottom w:type="dxa" w:w="70"/>
              <w:right w:type="dxa" w:w="110"/>
            </w:tcMar>
          </w:tcPr>
          <w:p>
            <w:r>
              <w:rPr>
                <w:b/>
                <w:bCs/>
                <w:sz w:val="20"/>
                <w:szCs w:val="20"/>
              </w:rPr>
              <w:t xml:space="preserve">Count</w:t>
            </w:r>
          </w:p>
        </w:tc>
        <w:tc>
          <w:tcPr>
            <w:tcW w:type="dxa" w:w="4970"/>
            <w:shd w:fill="EEF2F7" w:val="clear"/>
            <w:tcMar>
              <w:top w:type="dxa" w:w="70"/>
              <w:left w:type="dxa" w:w="110"/>
              <w:bottom w:type="dxa" w:w="70"/>
              <w:right w:type="dxa" w:w="110"/>
            </w:tcMar>
          </w:tcPr>
          <w:p>
            <w:r>
              <w:rPr>
                <w:b/>
                <w:bCs/>
                <w:sz w:val="20"/>
                <w:szCs w:val="20"/>
              </w:rPr>
              <w:t xml:space="preserve">Note</w:t>
            </w:r>
          </w:p>
        </w:tc>
      </w:tr>
      <w:tr>
        <w:tc>
          <w:tcPr>
            <w:tcW w:type="dxa" w:w="2200"/>
            <w:tcMar>
              <w:top w:type="dxa" w:w="70"/>
              <w:left w:type="dxa" w:w="110"/>
              <w:bottom w:type="dxa" w:w="70"/>
              <w:right w:type="dxa" w:w="110"/>
            </w:tcMar>
          </w:tcPr>
          <w:p>
            <w:r>
              <w:rPr>
                <w:b/>
                <w:bCs/>
                <w:sz w:val="20"/>
                <w:szCs w:val="20"/>
              </w:rPr>
              <w:t xml:space="preserve">Catalogue</w:t>
            </w:r>
          </w:p>
        </w:tc>
        <w:tc>
          <w:tcPr>
            <w:tcW w:type="dxa" w:w="1900"/>
            <w:tcMar>
              <w:top w:type="dxa" w:w="70"/>
              <w:left w:type="dxa" w:w="110"/>
              <w:bottom w:type="dxa" w:w="70"/>
              <w:right w:type="dxa" w:w="110"/>
            </w:tcMar>
          </w:tcPr>
          <w:p>
            <w:r>
              <w:rPr>
                <w:b w:val="false"/>
                <w:bCs w:val="false"/>
                <w:sz w:val="20"/>
                <w:szCs w:val="20"/>
              </w:rPr>
              <w:t xml:space="preserve">27,021 apps</w:t>
            </w:r>
          </w:p>
        </w:tc>
        <w:tc>
          <w:tcPr>
            <w:tcW w:type="dxa" w:w="4970"/>
            <w:tcMar>
              <w:top w:type="dxa" w:w="70"/>
              <w:left w:type="dxa" w:w="110"/>
              <w:bottom w:type="dxa" w:w="70"/>
              <w:right w:type="dxa" w:w="110"/>
            </w:tcMar>
          </w:tcPr>
          <w:p>
            <w:r>
              <w:rPr>
                <w:b w:val="false"/>
                <w:bCs w:val="false"/>
                <w:sz w:val="20"/>
                <w:szCs w:val="20"/>
              </w:rPr>
              <w:t xml:space="preserve">Paging stops where owners fall below the floor</w:t>
            </w:r>
          </w:p>
        </w:tc>
      </w:tr>
      <w:tr>
        <w:tc>
          <w:tcPr>
            <w:tcW w:type="dxa" w:w="2200"/>
            <w:tcMar>
              <w:top w:type="dxa" w:w="70"/>
              <w:left w:type="dxa" w:w="110"/>
              <w:bottom w:type="dxa" w:w="70"/>
              <w:right w:type="dxa" w:w="110"/>
            </w:tcMar>
          </w:tcPr>
          <w:p>
            <w:r>
              <w:rPr>
                <w:b/>
                <w:bCs/>
                <w:sz w:val="20"/>
                <w:szCs w:val="20"/>
              </w:rPr>
              <w:t xml:space="preserve">Above owner floor</w:t>
            </w:r>
          </w:p>
        </w:tc>
        <w:tc>
          <w:tcPr>
            <w:tcW w:type="dxa" w:w="1900"/>
            <w:tcMar>
              <w:top w:type="dxa" w:w="70"/>
              <w:left w:type="dxa" w:w="110"/>
              <w:bottom w:type="dxa" w:w="70"/>
              <w:right w:type="dxa" w:w="110"/>
            </w:tcMar>
          </w:tcPr>
          <w:p>
            <w:r>
              <w:rPr>
                <w:b w:val="false"/>
                <w:bCs w:val="false"/>
                <w:sz w:val="20"/>
                <w:szCs w:val="20"/>
              </w:rPr>
              <w:t xml:space="preserve">26,017</w:t>
            </w:r>
          </w:p>
        </w:tc>
        <w:tc>
          <w:tcPr>
            <w:tcW w:type="dxa" w:w="4970"/>
            <w:tcMar>
              <w:top w:type="dxa" w:w="70"/>
              <w:left w:type="dxa" w:w="110"/>
              <w:bottom w:type="dxa" w:w="70"/>
              <w:right w:type="dxa" w:w="110"/>
            </w:tcMar>
          </w:tcPr>
          <w:p>
            <w:r>
              <w:rPr>
                <w:b w:val="false"/>
                <w:bCs w:val="false"/>
                <w:sz w:val="20"/>
                <w:szCs w:val="20"/>
              </w:rPr>
              <w:t xml:space="preserve">Released 2015+, owner midpoint above 20,000</w:t>
            </w:r>
          </w:p>
        </w:tc>
      </w:tr>
      <w:tr>
        <w:tc>
          <w:tcPr>
            <w:tcW w:type="dxa" w:w="2200"/>
            <w:tcMar>
              <w:top w:type="dxa" w:w="70"/>
              <w:left w:type="dxa" w:w="110"/>
              <w:bottom w:type="dxa" w:w="70"/>
              <w:right w:type="dxa" w:w="110"/>
            </w:tcMar>
          </w:tcPr>
          <w:p>
            <w:r>
              <w:rPr>
                <w:b/>
                <w:bCs/>
                <w:sz w:val="20"/>
                <w:szCs w:val="20"/>
              </w:rPr>
              <w:t xml:space="preserve">Comparison set</w:t>
            </w:r>
          </w:p>
        </w:tc>
        <w:tc>
          <w:tcPr>
            <w:tcW w:type="dxa" w:w="1900"/>
            <w:tcMar>
              <w:top w:type="dxa" w:w="70"/>
              <w:left w:type="dxa" w:w="110"/>
              <w:bottom w:type="dxa" w:w="70"/>
              <w:right w:type="dxa" w:w="110"/>
            </w:tcMar>
          </w:tcPr>
          <w:p>
            <w:r>
              <w:rPr>
                <w:b w:val="false"/>
                <w:bCs w:val="false"/>
                <w:sz w:val="20"/>
                <w:szCs w:val="20"/>
              </w:rPr>
              <w:t xml:space="preserve">20,761 games</w:t>
            </w:r>
          </w:p>
        </w:tc>
        <w:tc>
          <w:tcPr>
            <w:tcW w:type="dxa" w:w="4970"/>
            <w:tcMar>
              <w:top w:type="dxa" w:w="70"/>
              <w:left w:type="dxa" w:w="110"/>
              <w:bottom w:type="dxa" w:w="70"/>
              <w:right w:type="dxa" w:w="110"/>
            </w:tcMar>
          </w:tcPr>
          <w:p>
            <w:r>
              <w:rPr>
                <w:b w:val="false"/>
                <w:bCs w:val="false"/>
                <w:sz w:val="20"/>
                <w:szCs w:val="20"/>
              </w:rPr>
              <w:t xml:space="preserve">3,062 free / 17,699 paid</w:t>
            </w:r>
          </w:p>
        </w:tc>
      </w:tr>
      <w:tr>
        <w:tc>
          <w:tcPr>
            <w:tcW w:type="dxa" w:w="2200"/>
            <w:tcMar>
              <w:top w:type="dxa" w:w="70"/>
              <w:left w:type="dxa" w:w="110"/>
              <w:bottom w:type="dxa" w:w="70"/>
              <w:right w:type="dxa" w:w="110"/>
            </w:tcMar>
          </w:tcPr>
          <w:p>
            <w:r>
              <w:rPr>
                <w:b/>
                <w:bCs/>
                <w:sz w:val="20"/>
                <w:szCs w:val="20"/>
              </w:rPr>
              <w:t xml:space="preserve">Excluded</w:t>
            </w:r>
          </w:p>
        </w:tc>
        <w:tc>
          <w:tcPr>
            <w:tcW w:type="dxa" w:w="1900"/>
            <w:tcMar>
              <w:top w:type="dxa" w:w="70"/>
              <w:left w:type="dxa" w:w="110"/>
              <w:bottom w:type="dxa" w:w="70"/>
              <w:right w:type="dxa" w:w="110"/>
            </w:tcMar>
          </w:tcPr>
          <w:p>
            <w:r>
              <w:rPr>
                <w:b w:val="false"/>
                <w:bCs w:val="false"/>
                <w:sz w:val="20"/>
                <w:szCs w:val="20"/>
              </w:rPr>
              <w:t xml:space="preserve">5,256</w:t>
            </w:r>
          </w:p>
        </w:tc>
        <w:tc>
          <w:tcPr>
            <w:tcW w:type="dxa" w:w="4970"/>
            <w:tcMar>
              <w:top w:type="dxa" w:w="70"/>
              <w:left w:type="dxa" w:w="110"/>
              <w:bottom w:type="dxa" w:w="70"/>
              <w:right w:type="dxa" w:w="110"/>
            </w:tcMar>
          </w:tcPr>
          <w:p>
            <w:r>
              <w:rPr>
                <w:b w:val="false"/>
                <w:bCs w:val="false"/>
                <w:sz w:val="20"/>
                <w:szCs w:val="20"/>
              </w:rPr>
              <w:t xml:space="preserve">3,052 pre-2015, 1,790 no usable price, 261 software, 153 undated</w:t>
            </w:r>
          </w:p>
        </w:tc>
      </w:tr>
      <w:tr>
        <w:tc>
          <w:tcPr>
            <w:tcW w:type="dxa" w:w="2200"/>
            <w:tcMar>
              <w:top w:type="dxa" w:w="70"/>
              <w:left w:type="dxa" w:w="110"/>
              <w:bottom w:type="dxa" w:w="70"/>
              <w:right w:type="dxa" w:w="110"/>
            </w:tcMar>
          </w:tcPr>
          <w:p>
            <w:r>
              <w:rPr>
                <w:b/>
                <w:bCs/>
                <w:sz w:val="20"/>
                <w:szCs w:val="20"/>
              </w:rPr>
              <w:t xml:space="preserve">Playtime sample</w:t>
            </w:r>
          </w:p>
        </w:tc>
        <w:tc>
          <w:tcPr>
            <w:tcW w:type="dxa" w:w="1900"/>
            <w:tcMar>
              <w:top w:type="dxa" w:w="70"/>
              <w:left w:type="dxa" w:w="110"/>
              <w:bottom w:type="dxa" w:w="70"/>
              <w:right w:type="dxa" w:w="110"/>
            </w:tcMar>
          </w:tcPr>
          <w:p>
            <w:r>
              <w:rPr>
                <w:b w:val="false"/>
                <w:bCs w:val="false"/>
                <w:sz w:val="20"/>
                <w:szCs w:val="20"/>
              </w:rPr>
              <w:t xml:space="preserve">3,497 games</w:t>
            </w:r>
          </w:p>
        </w:tc>
        <w:tc>
          <w:tcPr>
            <w:tcW w:type="dxa" w:w="4970"/>
            <w:tcMar>
              <w:top w:type="dxa" w:w="70"/>
              <w:left w:type="dxa" w:w="110"/>
              <w:bottom w:type="dxa" w:w="70"/>
              <w:right w:type="dxa" w:w="110"/>
            </w:tcMar>
          </w:tcPr>
          <w:p>
            <w:r>
              <w:rPr>
                <w:b w:val="false"/>
                <w:bCs w:val="false"/>
                <w:sz w:val="20"/>
                <w:szCs w:val="20"/>
              </w:rPr>
              <w:t xml:space="preserve">Stratified by genre and pricing model</w:t>
            </w:r>
          </w:p>
        </w:tc>
      </w:tr>
      <w:tr>
        <w:tc>
          <w:tcPr>
            <w:tcW w:type="dxa" w:w="2200"/>
            <w:tcMar>
              <w:top w:type="dxa" w:w="70"/>
              <w:left w:type="dxa" w:w="110"/>
              <w:bottom w:type="dxa" w:w="70"/>
              <w:right w:type="dxa" w:w="110"/>
            </w:tcMar>
          </w:tcPr>
          <w:p>
            <w:r>
              <w:rPr>
                <w:b/>
                <w:bCs/>
                <w:sz w:val="20"/>
                <w:szCs w:val="20"/>
              </w:rPr>
              <w:t xml:space="preserve">Usable after attrition</w:t>
            </w:r>
          </w:p>
        </w:tc>
        <w:tc>
          <w:tcPr>
            <w:tcW w:type="dxa" w:w="1900"/>
            <w:tcMar>
              <w:top w:type="dxa" w:w="70"/>
              <w:left w:type="dxa" w:w="110"/>
              <w:bottom w:type="dxa" w:w="70"/>
              <w:right w:type="dxa" w:w="110"/>
            </w:tcMar>
          </w:tcPr>
          <w:p>
            <w:r>
              <w:rPr>
                <w:b w:val="false"/>
                <w:bCs w:val="false"/>
                <w:sz w:val="20"/>
                <w:szCs w:val="20"/>
              </w:rPr>
              <w:t xml:space="preserve">2,797</w:t>
            </w:r>
          </w:p>
        </w:tc>
        <w:tc>
          <w:tcPr>
            <w:tcW w:type="dxa" w:w="4970"/>
            <w:tcMar>
              <w:top w:type="dxa" w:w="70"/>
              <w:left w:type="dxa" w:w="110"/>
              <w:bottom w:type="dxa" w:w="70"/>
              <w:right w:type="dxa" w:w="110"/>
            </w:tcMar>
          </w:tcPr>
          <w:p>
            <w:r>
              <w:rPr>
                <w:b w:val="false"/>
                <w:bCs w:val="false"/>
                <w:sz w:val="20"/>
                <w:szCs w:val="20"/>
              </w:rPr>
              <w:t xml:space="preserve">700 had fewer than 30 reviewers</w:t>
            </w:r>
          </w:p>
        </w:tc>
      </w:tr>
    </w:tbl>
    <w:p>
      <w:pPr>
        <w:spacing w:after="200"/>
      </w:pPr>
      <w:r>
        <w:rPr>
          <w:sz w:val="21"/>
          <w:szCs w:val="21"/>
        </w:rPr>
        <w:t xml:space="preserve"/>
      </w:r>
    </w:p>
    <w:p>
      <w:pPr>
        <w:pStyle w:val="Heading1"/>
        <w:spacing w:after="130" w:before="260"/>
      </w:pPr>
      <w:r>
        <w:rPr>
          <w:color w:val="1F3A5F"/>
        </w:rPr>
        <w:t xml:space="preserve">Method</w:t>
      </w:r>
    </w:p>
    <w:p>
      <w:pPr>
        <w:spacing w:after="140"/>
      </w:pPr>
      <w:r>
        <w:rPr>
          <w:sz w:val="21"/>
          <w:szCs w:val="21"/>
        </w:rPr>
        <w:t xml:space="preserve">Playtime is severely skewed — a handful of thousand-hour players drag any mean off the map — so every comparison is rank-based: Mann-Whitney U with tie and continuity corrections, and Cliff's delta as the effect size. Delta reads directly: −1 means every paid game outplays every free one, 0 means no separation.</w:t>
      </w:r>
    </w:p>
    <w:p>
      <w:pPr>
        <w:spacing w:after="140"/>
      </w:pPr>
      <w:r>
        <w:rPr>
          <w:sz w:val="21"/>
          <w:szCs w:val="21"/>
        </w:rPr>
        <w:t xml:space="preserve">The effect size leads and the p-value follows. At this sample size almost anything is statistically significant, so significance says little about magnitude; an effect size next to a visible cell count claims less and means more.</w:t>
      </w:r>
    </w:p>
    <w:p>
      <w:pPr>
        <w:spacing w:after="140"/>
      </w:pPr>
      <w:r>
        <w:rPr>
          <w:sz w:val="21"/>
          <w:szCs w:val="21"/>
        </w:rPr>
        <w:t xml:space="preserve">Within-genre results are pooled by pairwise weight, and only across cells holding at least eight games of each model — a stratified estimate built from cells too thin to read individually would launder the same noise.</w:t>
      </w:r>
    </w:p>
    <w:p>
      <w:pPr>
        <w:pStyle w:val="Heading1"/>
        <w:spacing w:after="130" w:before="260"/>
      </w:pPr>
      <w:r>
        <w:rPr>
          <w:color w:val="1F3A5F"/>
        </w:rPr>
        <w:t xml:space="preserve">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470"/>
      </w:tblGrid>
      <w:tr>
        <w:trPr>
          <w:tblHeader/>
        </w:trPr>
        <w:tc>
          <w:tcPr>
            <w:tcW w:type="dxa" w:w="3400"/>
            <w:shd w:fill="EEF2F7" w:val="clear"/>
            <w:tcMar>
              <w:top w:type="dxa" w:w="70"/>
              <w:left w:type="dxa" w:w="110"/>
              <w:bottom w:type="dxa" w:w="70"/>
              <w:right w:type="dxa" w:w="110"/>
            </w:tcMar>
          </w:tcPr>
          <w:p>
            <w:r>
              <w:rPr>
                <w:b/>
                <w:bCs/>
                <w:sz w:val="20"/>
                <w:szCs w:val="20"/>
              </w:rPr>
              <w:t xml:space="preserve">Comparison</w:t>
            </w:r>
          </w:p>
        </w:tc>
        <w:tc>
          <w:tcPr>
            <w:tcW w:type="dxa" w:w="1600"/>
            <w:shd w:fill="EEF2F7" w:val="clear"/>
            <w:tcMar>
              <w:top w:type="dxa" w:w="70"/>
              <w:left w:type="dxa" w:w="110"/>
              <w:bottom w:type="dxa" w:w="70"/>
              <w:right w:type="dxa" w:w="110"/>
            </w:tcMar>
          </w:tcPr>
          <w:p>
            <w:r>
              <w:rPr>
                <w:b/>
                <w:bCs/>
                <w:sz w:val="20"/>
                <w:szCs w:val="20"/>
              </w:rPr>
              <w:t xml:space="preserve">Free</w:t>
            </w:r>
          </w:p>
        </w:tc>
        <w:tc>
          <w:tcPr>
            <w:tcW w:type="dxa" w:w="1600"/>
            <w:shd w:fill="EEF2F7" w:val="clear"/>
            <w:tcMar>
              <w:top w:type="dxa" w:w="70"/>
              <w:left w:type="dxa" w:w="110"/>
              <w:bottom w:type="dxa" w:w="70"/>
              <w:right w:type="dxa" w:w="110"/>
            </w:tcMar>
          </w:tcPr>
          <w:p>
            <w:r>
              <w:rPr>
                <w:b/>
                <w:bCs/>
                <w:sz w:val="20"/>
                <w:szCs w:val="20"/>
              </w:rPr>
              <w:t xml:space="preserve">Paid</w:t>
            </w:r>
          </w:p>
        </w:tc>
        <w:tc>
          <w:tcPr>
            <w:tcW w:type="dxa" w:w="2470"/>
            <w:shd w:fill="EEF2F7" w:val="clear"/>
            <w:tcMar>
              <w:top w:type="dxa" w:w="70"/>
              <w:left w:type="dxa" w:w="110"/>
              <w:bottom w:type="dxa" w:w="70"/>
              <w:right w:type="dxa" w:w="110"/>
            </w:tcMar>
          </w:tcPr>
          <w:p>
            <w:r>
              <w:rPr>
                <w:b/>
                <w:bCs/>
                <w:sz w:val="20"/>
                <w:szCs w:val="20"/>
              </w:rPr>
              <w:t xml:space="preserve">Cliff's delta</w:t>
            </w:r>
          </w:p>
        </w:tc>
      </w:tr>
      <w:tr>
        <w:tc>
          <w:tcPr>
            <w:tcW w:type="dxa" w:w="3400"/>
            <w:tcMar>
              <w:top w:type="dxa" w:w="70"/>
              <w:left w:type="dxa" w:w="110"/>
              <w:bottom w:type="dxa" w:w="70"/>
              <w:right w:type="dxa" w:w="110"/>
            </w:tcMar>
          </w:tcPr>
          <w:p>
            <w:r>
              <w:rPr>
                <w:b/>
                <w:bCs/>
                <w:sz w:val="20"/>
                <w:szCs w:val="20"/>
              </w:rPr>
              <w:t xml:space="preserve">Median playtime (minutes)</w:t>
            </w:r>
          </w:p>
        </w:tc>
        <w:tc>
          <w:tcPr>
            <w:tcW w:type="dxa" w:w="1600"/>
            <w:tcMar>
              <w:top w:type="dxa" w:w="70"/>
              <w:left w:type="dxa" w:w="110"/>
              <w:bottom w:type="dxa" w:w="70"/>
              <w:right w:type="dxa" w:w="110"/>
            </w:tcMar>
          </w:tcPr>
          <w:p>
            <w:r>
              <w:rPr>
                <w:b w:val="false"/>
                <w:bCs w:val="false"/>
                <w:sz w:val="20"/>
                <w:szCs w:val="20"/>
              </w:rPr>
              <w:t xml:space="preserve">124</w:t>
            </w:r>
          </w:p>
        </w:tc>
        <w:tc>
          <w:tcPr>
            <w:tcW w:type="dxa" w:w="1600"/>
            <w:tcMar>
              <w:top w:type="dxa" w:w="70"/>
              <w:left w:type="dxa" w:w="110"/>
              <w:bottom w:type="dxa" w:w="70"/>
              <w:right w:type="dxa" w:w="110"/>
            </w:tcMar>
          </w:tcPr>
          <w:p>
            <w:r>
              <w:rPr>
                <w:b w:val="false"/>
                <w:bCs w:val="false"/>
                <w:sz w:val="20"/>
                <w:szCs w:val="20"/>
              </w:rPr>
              <w:t xml:space="preserve">530</w:t>
            </w:r>
          </w:p>
        </w:tc>
        <w:tc>
          <w:tcPr>
            <w:tcW w:type="dxa" w:w="2470"/>
            <w:tcMar>
              <w:top w:type="dxa" w:w="70"/>
              <w:left w:type="dxa" w:w="110"/>
              <w:bottom w:type="dxa" w:w="70"/>
              <w:right w:type="dxa" w:w="110"/>
            </w:tcMar>
          </w:tcPr>
          <w:p>
            <w:r>
              <w:rPr>
                <w:b w:val="false"/>
                <w:bCs w:val="false"/>
                <w:sz w:val="20"/>
                <w:szCs w:val="20"/>
              </w:rPr>
              <w:t xml:space="preserve">−0.457</w:t>
            </w:r>
          </w:p>
        </w:tc>
      </w:tr>
      <w:tr>
        <w:tc>
          <w:tcPr>
            <w:tcW w:type="dxa" w:w="3400"/>
            <w:tcMar>
              <w:top w:type="dxa" w:w="70"/>
              <w:left w:type="dxa" w:w="110"/>
              <w:bottom w:type="dxa" w:w="70"/>
              <w:right w:type="dxa" w:w="110"/>
            </w:tcMar>
          </w:tcPr>
          <w:p>
            <w:r>
              <w:rPr>
                <w:b/>
                <w:bCs/>
                <w:sz w:val="20"/>
                <w:szCs w:val="20"/>
              </w:rPr>
              <w:t xml:space="preserve">Genre-adjusted, 58 genres</w:t>
            </w:r>
          </w:p>
        </w:tc>
        <w:tc>
          <w:tcPr>
            <w:tcW w:type="dxa" w:w="1600"/>
            <w:tcMar>
              <w:top w:type="dxa" w:w="70"/>
              <w:left w:type="dxa" w:w="110"/>
              <w:bottom w:type="dxa" w:w="70"/>
              <w:right w:type="dxa" w:w="110"/>
            </w:tcMar>
          </w:tcPr>
          <w:p>
            <w:r>
              <w:rPr>
                <w:b w:val="false"/>
                <w:bCs w:val="false"/>
                <w:sz w:val="20"/>
                <w:szCs w:val="20"/>
              </w:rPr>
              <w:t xml:space="preserve">—</w:t>
            </w:r>
          </w:p>
        </w:tc>
        <w:tc>
          <w:tcPr>
            <w:tcW w:type="dxa" w:w="1600"/>
            <w:tcMar>
              <w:top w:type="dxa" w:w="70"/>
              <w:left w:type="dxa" w:w="110"/>
              <w:bottom w:type="dxa" w:w="70"/>
              <w:right w:type="dxa" w:w="110"/>
            </w:tcMar>
          </w:tcPr>
          <w:p>
            <w:r>
              <w:rPr>
                <w:b w:val="false"/>
                <w:bCs w:val="false"/>
                <w:sz w:val="20"/>
                <w:szCs w:val="20"/>
              </w:rPr>
              <w:t xml:space="preserve">—</w:t>
            </w:r>
          </w:p>
        </w:tc>
        <w:tc>
          <w:tcPr>
            <w:tcW w:type="dxa" w:w="2470"/>
            <w:tcMar>
              <w:top w:type="dxa" w:w="70"/>
              <w:left w:type="dxa" w:w="110"/>
              <w:bottom w:type="dxa" w:w="70"/>
              <w:right w:type="dxa" w:w="110"/>
            </w:tcMar>
          </w:tcPr>
          <w:p>
            <w:r>
              <w:rPr>
                <w:b w:val="false"/>
                <w:bCs w:val="false"/>
                <w:sz w:val="20"/>
                <w:szCs w:val="20"/>
              </w:rPr>
              <w:t xml:space="preserve">−0.482</w:t>
            </w:r>
          </w:p>
        </w:tc>
      </w:tr>
      <w:tr>
        <w:tc>
          <w:tcPr>
            <w:tcW w:type="dxa" w:w="3400"/>
            <w:tcMar>
              <w:top w:type="dxa" w:w="70"/>
              <w:left w:type="dxa" w:w="110"/>
              <w:bottom w:type="dxa" w:w="70"/>
              <w:right w:type="dxa" w:w="110"/>
            </w:tcMar>
          </w:tcPr>
          <w:p>
            <w:r>
              <w:rPr>
                <w:b/>
                <w:bCs/>
                <w:sz w:val="20"/>
                <w:szCs w:val="20"/>
              </w:rPr>
              <w:t xml:space="preserve">Games compared</w:t>
            </w:r>
          </w:p>
        </w:tc>
        <w:tc>
          <w:tcPr>
            <w:tcW w:type="dxa" w:w="1600"/>
            <w:tcMar>
              <w:top w:type="dxa" w:w="70"/>
              <w:left w:type="dxa" w:w="110"/>
              <w:bottom w:type="dxa" w:w="70"/>
              <w:right w:type="dxa" w:w="110"/>
            </w:tcMar>
          </w:tcPr>
          <w:p>
            <w:r>
              <w:rPr>
                <w:b w:val="false"/>
                <w:bCs w:val="false"/>
                <w:sz w:val="20"/>
                <w:szCs w:val="20"/>
              </w:rPr>
              <w:t xml:space="preserve">1,198</w:t>
            </w:r>
          </w:p>
        </w:tc>
        <w:tc>
          <w:tcPr>
            <w:tcW w:type="dxa" w:w="1600"/>
            <w:tcMar>
              <w:top w:type="dxa" w:w="70"/>
              <w:left w:type="dxa" w:w="110"/>
              <w:bottom w:type="dxa" w:w="70"/>
              <w:right w:type="dxa" w:w="110"/>
            </w:tcMar>
          </w:tcPr>
          <w:p>
            <w:r>
              <w:rPr>
                <w:b w:val="false"/>
                <w:bCs w:val="false"/>
                <w:sz w:val="20"/>
                <w:szCs w:val="20"/>
              </w:rPr>
              <w:t xml:space="preserve">1,599</w:t>
            </w:r>
          </w:p>
        </w:tc>
        <w:tc>
          <w:tcPr>
            <w:tcW w:type="dxa" w:w="2470"/>
            <w:tcMar>
              <w:top w:type="dxa" w:w="70"/>
              <w:left w:type="dxa" w:w="110"/>
              <w:bottom w:type="dxa" w:w="70"/>
              <w:right w:type="dxa" w:w="110"/>
            </w:tcMar>
          </w:tcPr>
          <w:p>
            <w:r>
              <w:rPr>
                <w:b w:val="false"/>
                <w:bCs w:val="false"/>
                <w:sz w:val="20"/>
                <w:szCs w:val="20"/>
              </w:rPr>
              <w:t xml:space="preserve"/>
            </w:r>
          </w:p>
        </w:tc>
      </w:tr>
    </w:tbl>
    <w:p>
      <w:pPr>
        <w:spacing w:after="160"/>
      </w:pPr>
      <w:r>
        <w:rPr>
          <w:sz w:val="21"/>
          <w:szCs w:val="21"/>
        </w:rPr>
        <w:t xml:space="preserve"/>
      </w:r>
    </w:p>
    <w:p>
      <w:pPr>
        <w:spacing w:after="140"/>
      </w:pPr>
      <w:r>
        <w:rPr>
          <w:sz w:val="21"/>
          <w:szCs w:val="21"/>
        </w:rPr>
        <w:t xml:space="preserve">The three owner bounds agree to within 0.001. The interval assumption is the most visible judgement call in the study, and it does not drive the conclusion — because the comparisons are rank-based, widening or narrowing the bands barely reorders anything.</w:t>
      </w:r>
    </w:p>
    <w:p>
      <w:pPr>
        <w:pStyle w:val="Heading2"/>
        <w:spacing w:after="130" w:before="260"/>
      </w:pPr>
      <w:r>
        <w:rPr>
          <w:color w:val="1F3A5F"/>
        </w:rPr>
        <w:t xml:space="preserve">Where free-to-play does win</w:t>
      </w:r>
    </w:p>
    <w:p>
      <w:pPr>
        <w:spacing w:after="140"/>
      </w:pPr>
      <w:r>
        <w:rPr>
          <w:sz w:val="21"/>
          <w:szCs w:val="21"/>
        </w:rPr>
        <w:t xml:space="preserve">Free-to-play wins in exactly one genre and ties in a second. Both are built around long, low-intensity sessions, and in both the free model is native rather than a discount.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70"/>
      </w:tblGrid>
      <w:tr>
        <w:trPr>
          <w:tblHeader/>
        </w:trPr>
        <w:tc>
          <w:tcPr>
            <w:tcW w:type="dxa" w:w="3400"/>
            <w:shd w:fill="EEF2F7" w:val="clear"/>
            <w:tcMar>
              <w:top w:type="dxa" w:w="70"/>
              <w:left w:type="dxa" w:w="110"/>
              <w:bottom w:type="dxa" w:w="70"/>
              <w:right w:type="dxa" w:w="110"/>
            </w:tcMar>
          </w:tcPr>
          <w:p>
            <w:r>
              <w:rPr>
                <w:b/>
                <w:bCs/>
                <w:sz w:val="20"/>
                <w:szCs w:val="20"/>
              </w:rPr>
              <w:t xml:space="preserve">Genre</w:t>
            </w:r>
          </w:p>
        </w:tc>
        <w:tc>
          <w:tcPr>
            <w:tcW w:type="dxa" w:w="1900"/>
            <w:shd w:fill="EEF2F7" w:val="clear"/>
            <w:tcMar>
              <w:top w:type="dxa" w:w="70"/>
              <w:left w:type="dxa" w:w="110"/>
              <w:bottom w:type="dxa" w:w="70"/>
              <w:right w:type="dxa" w:w="110"/>
            </w:tcMar>
          </w:tcPr>
          <w:p>
            <w:r>
              <w:rPr>
                <w:b/>
                <w:bCs/>
                <w:sz w:val="20"/>
                <w:szCs w:val="20"/>
              </w:rPr>
              <w:t xml:space="preserve">Free (min)</w:t>
            </w:r>
          </w:p>
        </w:tc>
        <w:tc>
          <w:tcPr>
            <w:tcW w:type="dxa" w:w="1900"/>
            <w:shd w:fill="EEF2F7" w:val="clear"/>
            <w:tcMar>
              <w:top w:type="dxa" w:w="70"/>
              <w:left w:type="dxa" w:w="110"/>
              <w:bottom w:type="dxa" w:w="70"/>
              <w:right w:type="dxa" w:w="110"/>
            </w:tcMar>
          </w:tcPr>
          <w:p>
            <w:r>
              <w:rPr>
                <w:b/>
                <w:bCs/>
                <w:sz w:val="20"/>
                <w:szCs w:val="20"/>
              </w:rPr>
              <w:t xml:space="preserve">Paid (min)</w:t>
            </w:r>
          </w:p>
        </w:tc>
        <w:tc>
          <w:tcPr>
            <w:tcW w:type="dxa" w:w="1870"/>
            <w:shd w:fill="EEF2F7" w:val="clear"/>
            <w:tcMar>
              <w:top w:type="dxa" w:w="70"/>
              <w:left w:type="dxa" w:w="110"/>
              <w:bottom w:type="dxa" w:w="70"/>
              <w:right w:type="dxa" w:w="110"/>
            </w:tcMar>
          </w:tcPr>
          <w:p>
            <w:r>
              <w:rPr>
                <w:b/>
                <w:bCs/>
                <w:sz w:val="20"/>
                <w:szCs w:val="20"/>
              </w:rPr>
              <w:t xml:space="preserve">Delta</w:t>
            </w:r>
          </w:p>
        </w:tc>
      </w:tr>
      <w:tr>
        <w:tc>
          <w:tcPr>
            <w:tcW w:type="dxa" w:w="3400"/>
            <w:tcMar>
              <w:top w:type="dxa" w:w="70"/>
              <w:left w:type="dxa" w:w="110"/>
              <w:bottom w:type="dxa" w:w="70"/>
              <w:right w:type="dxa" w:w="110"/>
            </w:tcMar>
          </w:tcPr>
          <w:p>
            <w:r>
              <w:rPr>
                <w:b/>
                <w:bCs/>
                <w:sz w:val="20"/>
                <w:szCs w:val="20"/>
              </w:rPr>
              <w:t xml:space="preserve">Clicker</w:t>
            </w:r>
          </w:p>
        </w:tc>
        <w:tc>
          <w:tcPr>
            <w:tcW w:type="dxa" w:w="1900"/>
            <w:tcMar>
              <w:top w:type="dxa" w:w="70"/>
              <w:left w:type="dxa" w:w="110"/>
              <w:bottom w:type="dxa" w:w="70"/>
              <w:right w:type="dxa" w:w="110"/>
            </w:tcMar>
          </w:tcPr>
          <w:p>
            <w:r>
              <w:rPr>
                <w:b w:val="false"/>
                <w:bCs w:val="false"/>
                <w:sz w:val="20"/>
                <w:szCs w:val="20"/>
              </w:rPr>
              <w:t xml:space="preserve">530</w:t>
            </w:r>
          </w:p>
        </w:tc>
        <w:tc>
          <w:tcPr>
            <w:tcW w:type="dxa" w:w="1900"/>
            <w:tcMar>
              <w:top w:type="dxa" w:w="70"/>
              <w:left w:type="dxa" w:w="110"/>
              <w:bottom w:type="dxa" w:w="70"/>
              <w:right w:type="dxa" w:w="110"/>
            </w:tcMar>
          </w:tcPr>
          <w:p>
            <w:r>
              <w:rPr>
                <w:b w:val="false"/>
                <w:bCs w:val="false"/>
                <w:sz w:val="20"/>
                <w:szCs w:val="20"/>
              </w:rPr>
              <w:t xml:space="preserve">218</w:t>
            </w:r>
          </w:p>
        </w:tc>
        <w:tc>
          <w:tcPr>
            <w:tcW w:type="dxa" w:w="1870"/>
            <w:tcMar>
              <w:top w:type="dxa" w:w="70"/>
              <w:left w:type="dxa" w:w="110"/>
              <w:bottom w:type="dxa" w:w="70"/>
              <w:right w:type="dxa" w:w="110"/>
            </w:tcMar>
          </w:tcPr>
          <w:p>
            <w:r>
              <w:rPr>
                <w:b w:val="false"/>
                <w:bCs w:val="false"/>
                <w:sz w:val="20"/>
                <w:szCs w:val="20"/>
              </w:rPr>
              <w:t xml:space="preserve">+0.353</w:t>
            </w:r>
          </w:p>
        </w:tc>
      </w:tr>
      <w:tr>
        <w:tc>
          <w:tcPr>
            <w:tcW w:type="dxa" w:w="3400"/>
            <w:tcMar>
              <w:top w:type="dxa" w:w="70"/>
              <w:left w:type="dxa" w:w="110"/>
              <w:bottom w:type="dxa" w:w="70"/>
              <w:right w:type="dxa" w:w="110"/>
            </w:tcMar>
          </w:tcPr>
          <w:p>
            <w:r>
              <w:rPr>
                <w:b/>
                <w:bCs/>
                <w:sz w:val="20"/>
                <w:szCs w:val="20"/>
              </w:rPr>
              <w:t xml:space="preserve">Idler</w:t>
            </w:r>
          </w:p>
        </w:tc>
        <w:tc>
          <w:tcPr>
            <w:tcW w:type="dxa" w:w="1900"/>
            <w:tcMar>
              <w:top w:type="dxa" w:w="70"/>
              <w:left w:type="dxa" w:w="110"/>
              <w:bottom w:type="dxa" w:w="70"/>
              <w:right w:type="dxa" w:w="110"/>
            </w:tcMar>
          </w:tcPr>
          <w:p>
            <w:r>
              <w:rPr>
                <w:b w:val="false"/>
                <w:bCs w:val="false"/>
                <w:sz w:val="20"/>
                <w:szCs w:val="20"/>
              </w:rPr>
              <w:t xml:space="preserve">2,723</w:t>
            </w:r>
          </w:p>
        </w:tc>
        <w:tc>
          <w:tcPr>
            <w:tcW w:type="dxa" w:w="1900"/>
            <w:tcMar>
              <w:top w:type="dxa" w:w="70"/>
              <w:left w:type="dxa" w:w="110"/>
              <w:bottom w:type="dxa" w:w="70"/>
              <w:right w:type="dxa" w:w="110"/>
            </w:tcMar>
          </w:tcPr>
          <w:p>
            <w:r>
              <w:rPr>
                <w:b w:val="false"/>
                <w:bCs w:val="false"/>
                <w:sz w:val="20"/>
                <w:szCs w:val="20"/>
              </w:rPr>
              <w:t xml:space="preserve">1,764</w:t>
            </w:r>
          </w:p>
        </w:tc>
        <w:tc>
          <w:tcPr>
            <w:tcW w:type="dxa" w:w="1870"/>
            <w:tcMar>
              <w:top w:type="dxa" w:w="70"/>
              <w:left w:type="dxa" w:w="110"/>
              <w:bottom w:type="dxa" w:w="70"/>
              <w:right w:type="dxa" w:w="110"/>
            </w:tcMar>
          </w:tcPr>
          <w:p>
            <w:r>
              <w:rPr>
                <w:b w:val="false"/>
                <w:bCs w:val="false"/>
                <w:sz w:val="20"/>
                <w:szCs w:val="20"/>
              </w:rPr>
              <w:t xml:space="preserve">+0.007</w:t>
            </w:r>
          </w:p>
        </w:tc>
      </w:tr>
      <w:tr>
        <w:tc>
          <w:tcPr>
            <w:tcW w:type="dxa" w:w="3400"/>
            <w:tcMar>
              <w:top w:type="dxa" w:w="70"/>
              <w:left w:type="dxa" w:w="110"/>
              <w:bottom w:type="dxa" w:w="70"/>
              <w:right w:type="dxa" w:w="110"/>
            </w:tcMar>
          </w:tcPr>
          <w:p>
            <w:r>
              <w:rPr>
                <w:b/>
                <w:bCs/>
                <w:sz w:val="20"/>
                <w:szCs w:val="20"/>
              </w:rPr>
              <w:t xml:space="preserve">MMORPG</w:t>
            </w:r>
          </w:p>
        </w:tc>
        <w:tc>
          <w:tcPr>
            <w:tcW w:type="dxa" w:w="1900"/>
            <w:tcMar>
              <w:top w:type="dxa" w:w="70"/>
              <w:left w:type="dxa" w:w="110"/>
              <w:bottom w:type="dxa" w:w="70"/>
              <w:right w:type="dxa" w:w="110"/>
            </w:tcMar>
          </w:tcPr>
          <w:p>
            <w:r>
              <w:rPr>
                <w:b w:val="false"/>
                <w:bCs w:val="false"/>
                <w:sz w:val="20"/>
                <w:szCs w:val="20"/>
              </w:rPr>
              <w:t xml:space="preserve">1,216</w:t>
            </w:r>
          </w:p>
        </w:tc>
        <w:tc>
          <w:tcPr>
            <w:tcW w:type="dxa" w:w="1900"/>
            <w:tcMar>
              <w:top w:type="dxa" w:w="70"/>
              <w:left w:type="dxa" w:w="110"/>
              <w:bottom w:type="dxa" w:w="70"/>
              <w:right w:type="dxa" w:w="110"/>
            </w:tcMar>
          </w:tcPr>
          <w:p>
            <w:r>
              <w:rPr>
                <w:b w:val="false"/>
                <w:bCs w:val="false"/>
                <w:sz w:val="20"/>
                <w:szCs w:val="20"/>
              </w:rPr>
              <w:t xml:space="preserve">2,810</w:t>
            </w:r>
          </w:p>
        </w:tc>
        <w:tc>
          <w:tcPr>
            <w:tcW w:type="dxa" w:w="1870"/>
            <w:tcMar>
              <w:top w:type="dxa" w:w="70"/>
              <w:left w:type="dxa" w:w="110"/>
              <w:bottom w:type="dxa" w:w="70"/>
              <w:right w:type="dxa" w:w="110"/>
            </w:tcMar>
          </w:tcPr>
          <w:p>
            <w:r>
              <w:rPr>
                <w:b w:val="false"/>
                <w:bCs w:val="false"/>
                <w:sz w:val="20"/>
                <w:szCs w:val="20"/>
              </w:rPr>
              <w:t xml:space="preserve">−0.392</w:t>
            </w:r>
          </w:p>
        </w:tc>
      </w:tr>
      <w:tr>
        <w:tc>
          <w:tcPr>
            <w:tcW w:type="dxa" w:w="3400"/>
            <w:tcMar>
              <w:top w:type="dxa" w:w="70"/>
              <w:left w:type="dxa" w:w="110"/>
              <w:bottom w:type="dxa" w:w="70"/>
              <w:right w:type="dxa" w:w="110"/>
            </w:tcMar>
          </w:tcPr>
          <w:p>
            <w:r>
              <w:rPr>
                <w:b/>
                <w:bCs/>
                <w:sz w:val="20"/>
                <w:szCs w:val="20"/>
              </w:rPr>
              <w:t xml:space="preserve">Visual Novel</w:t>
            </w:r>
          </w:p>
        </w:tc>
        <w:tc>
          <w:tcPr>
            <w:tcW w:type="dxa" w:w="1900"/>
            <w:tcMar>
              <w:top w:type="dxa" w:w="70"/>
              <w:left w:type="dxa" w:w="110"/>
              <w:bottom w:type="dxa" w:w="70"/>
              <w:right w:type="dxa" w:w="110"/>
            </w:tcMar>
          </w:tcPr>
          <w:p>
            <w:r>
              <w:rPr>
                <w:b w:val="false"/>
                <w:bCs w:val="false"/>
                <w:sz w:val="20"/>
                <w:szCs w:val="20"/>
              </w:rPr>
              <w:t xml:space="preserve">83</w:t>
            </w:r>
          </w:p>
        </w:tc>
        <w:tc>
          <w:tcPr>
            <w:tcW w:type="dxa" w:w="1900"/>
            <w:tcMar>
              <w:top w:type="dxa" w:w="70"/>
              <w:left w:type="dxa" w:w="110"/>
              <w:bottom w:type="dxa" w:w="70"/>
              <w:right w:type="dxa" w:w="110"/>
            </w:tcMar>
          </w:tcPr>
          <w:p>
            <w:r>
              <w:rPr>
                <w:b w:val="false"/>
                <w:bCs w:val="false"/>
                <w:sz w:val="20"/>
                <w:szCs w:val="20"/>
              </w:rPr>
              <w:t xml:space="preserve">587</w:t>
            </w:r>
          </w:p>
        </w:tc>
        <w:tc>
          <w:tcPr>
            <w:tcW w:type="dxa" w:w="1870"/>
            <w:tcMar>
              <w:top w:type="dxa" w:w="70"/>
              <w:left w:type="dxa" w:w="110"/>
              <w:bottom w:type="dxa" w:w="70"/>
              <w:right w:type="dxa" w:w="110"/>
            </w:tcMar>
          </w:tcPr>
          <w:p>
            <w:r>
              <w:rPr>
                <w:b w:val="false"/>
                <w:bCs w:val="false"/>
                <w:sz w:val="20"/>
                <w:szCs w:val="20"/>
              </w:rPr>
              <w:t xml:space="preserve">−0.726</w:t>
            </w:r>
          </w:p>
        </w:tc>
      </w:tr>
      <w:tr>
        <w:tc>
          <w:tcPr>
            <w:tcW w:type="dxa" w:w="3400"/>
            <w:tcMar>
              <w:top w:type="dxa" w:w="70"/>
              <w:left w:type="dxa" w:w="110"/>
              <w:bottom w:type="dxa" w:w="70"/>
              <w:right w:type="dxa" w:w="110"/>
            </w:tcMar>
          </w:tcPr>
          <w:p>
            <w:r>
              <w:rPr>
                <w:b/>
                <w:bCs/>
                <w:sz w:val="20"/>
                <w:szCs w:val="20"/>
              </w:rPr>
              <w:t xml:space="preserve">Racing</w:t>
            </w:r>
          </w:p>
        </w:tc>
        <w:tc>
          <w:tcPr>
            <w:tcW w:type="dxa" w:w="1900"/>
            <w:tcMar>
              <w:top w:type="dxa" w:w="70"/>
              <w:left w:type="dxa" w:w="110"/>
              <w:bottom w:type="dxa" w:w="70"/>
              <w:right w:type="dxa" w:w="110"/>
            </w:tcMar>
          </w:tcPr>
          <w:p>
            <w:r>
              <w:rPr>
                <w:b w:val="false"/>
                <w:bCs w:val="false"/>
                <w:sz w:val="20"/>
                <w:szCs w:val="20"/>
              </w:rPr>
              <w:t xml:space="preserve">27</w:t>
            </w:r>
          </w:p>
        </w:tc>
        <w:tc>
          <w:tcPr>
            <w:tcW w:type="dxa" w:w="1900"/>
            <w:tcMar>
              <w:top w:type="dxa" w:w="70"/>
              <w:left w:type="dxa" w:w="110"/>
              <w:bottom w:type="dxa" w:w="70"/>
              <w:right w:type="dxa" w:w="110"/>
            </w:tcMar>
          </w:tcPr>
          <w:p>
            <w:r>
              <w:rPr>
                <w:b w:val="false"/>
                <w:bCs w:val="false"/>
                <w:sz w:val="20"/>
                <w:szCs w:val="20"/>
              </w:rPr>
              <w:t xml:space="preserve">189</w:t>
            </w:r>
          </w:p>
        </w:tc>
        <w:tc>
          <w:tcPr>
            <w:tcW w:type="dxa" w:w="1870"/>
            <w:tcMar>
              <w:top w:type="dxa" w:w="70"/>
              <w:left w:type="dxa" w:w="110"/>
              <w:bottom w:type="dxa" w:w="70"/>
              <w:right w:type="dxa" w:w="110"/>
            </w:tcMar>
          </w:tcPr>
          <w:p>
            <w:r>
              <w:rPr>
                <w:b w:val="false"/>
                <w:bCs w:val="false"/>
                <w:sz w:val="20"/>
                <w:szCs w:val="20"/>
              </w:rPr>
              <w:t xml:space="preserve">−0.827</w:t>
            </w:r>
          </w:p>
        </w:tc>
      </w:tr>
    </w:tbl>
    <w:p>
      <w:pPr>
        <w:spacing w:after="160"/>
      </w:pPr>
      <w:r>
        <w:rPr>
          <w:sz w:val="21"/>
          <w:szCs w:val="21"/>
        </w:rPr>
        <w:t xml:space="preserve"/>
      </w:r>
    </w:p>
    <w:p>
      <w:pPr>
        <w:spacing w:after="140"/>
      </w:pPr>
      <w:r>
        <w:rPr>
          <w:sz w:val="21"/>
          <w:szCs w:val="21"/>
        </w:rPr>
        <w:t xml:space="preserve">MMORPG is the informative loss. It is the genre where a free model should have its strongest case — persistent worlds, long tails, monetisation built in — and paid titles still hold more than twice the playtime.</w:t>
      </w:r>
    </w:p>
    <w:p>
      <w:pPr>
        <w:pStyle w:val="Heading2"/>
        <w:spacing w:after="130" w:before="260"/>
      </w:pPr>
      <w:r>
        <w:rPr>
          <w:color w:val="1F3A5F"/>
        </w:rPr>
        <w:t xml:space="preserve">Price beats the pricing model</w:t>
      </w:r>
    </w:p>
    <w:p>
      <w:pPr>
        <w:spacing w:after="140"/>
      </w:pPr>
      <w:r>
        <w:rPr>
          <w:sz w:val="21"/>
          <w:szCs w:val="21"/>
        </w:rPr>
        <w:t xml:space="preserve">Among paid games, median playtime rises monotonically with price, more than tenfold from the cheapest band to the most expensive.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70"/>
      </w:tblGrid>
      <w:tr>
        <w:trPr>
          <w:tblHeader/>
        </w:trPr>
        <w:tc>
          <w:tcPr>
            <w:tcW w:type="dxa" w:w="3000"/>
            <w:shd w:fill="EEF2F7" w:val="clear"/>
            <w:tcMar>
              <w:top w:type="dxa" w:w="70"/>
              <w:left w:type="dxa" w:w="110"/>
              <w:bottom w:type="dxa" w:w="70"/>
              <w:right w:type="dxa" w:w="110"/>
            </w:tcMar>
          </w:tcPr>
          <w:p>
            <w:r>
              <w:rPr>
                <w:b/>
                <w:bCs/>
                <w:sz w:val="20"/>
                <w:szCs w:val="20"/>
              </w:rPr>
              <w:t xml:space="preserve">Price band (AUD)</w:t>
            </w:r>
          </w:p>
        </w:tc>
        <w:tc>
          <w:tcPr>
            <w:tcW w:type="dxa" w:w="2000"/>
            <w:shd w:fill="EEF2F7" w:val="clear"/>
            <w:tcMar>
              <w:top w:type="dxa" w:w="70"/>
              <w:left w:type="dxa" w:w="110"/>
              <w:bottom w:type="dxa" w:w="70"/>
              <w:right w:type="dxa" w:w="110"/>
            </w:tcMar>
          </w:tcPr>
          <w:p>
            <w:r>
              <w:rPr>
                <w:b/>
                <w:bCs/>
                <w:sz w:val="20"/>
                <w:szCs w:val="20"/>
              </w:rPr>
              <w:t xml:space="preserve">Games</w:t>
            </w:r>
          </w:p>
        </w:tc>
        <w:tc>
          <w:tcPr>
            <w:tcW w:type="dxa" w:w="4070"/>
            <w:shd w:fill="EEF2F7" w:val="clear"/>
            <w:tcMar>
              <w:top w:type="dxa" w:w="70"/>
              <w:left w:type="dxa" w:w="110"/>
              <w:bottom w:type="dxa" w:w="70"/>
              <w:right w:type="dxa" w:w="110"/>
            </w:tcMar>
          </w:tcPr>
          <w:p>
            <w:r>
              <w:rPr>
                <w:b/>
                <w:bCs/>
                <w:sz w:val="20"/>
                <w:szCs w:val="20"/>
              </w:rPr>
              <w:t xml:space="preserve">Median playtime</w:t>
            </w:r>
          </w:p>
        </w:tc>
      </w:tr>
      <w:tr>
        <w:tc>
          <w:tcPr>
            <w:tcW w:type="dxa" w:w="3000"/>
            <w:tcMar>
              <w:top w:type="dxa" w:w="70"/>
              <w:left w:type="dxa" w:w="110"/>
              <w:bottom w:type="dxa" w:w="70"/>
              <w:right w:type="dxa" w:w="110"/>
            </w:tcMar>
          </w:tcPr>
          <w:p>
            <w:r>
              <w:rPr>
                <w:b/>
                <w:bCs/>
                <w:sz w:val="20"/>
                <w:szCs w:val="20"/>
              </w:rPr>
              <w:t xml:space="preserve">Under 10</w:t>
            </w:r>
          </w:p>
        </w:tc>
        <w:tc>
          <w:tcPr>
            <w:tcW w:type="dxa" w:w="2000"/>
            <w:tcMar>
              <w:top w:type="dxa" w:w="70"/>
              <w:left w:type="dxa" w:w="110"/>
              <w:bottom w:type="dxa" w:w="70"/>
              <w:right w:type="dxa" w:w="110"/>
            </w:tcMar>
          </w:tcPr>
          <w:p>
            <w:r>
              <w:rPr>
                <w:b w:val="false"/>
                <w:bCs w:val="false"/>
                <w:sz w:val="20"/>
                <w:szCs w:val="20"/>
              </w:rPr>
              <w:t xml:space="preserve">549</w:t>
            </w:r>
          </w:p>
        </w:tc>
        <w:tc>
          <w:tcPr>
            <w:tcW w:type="dxa" w:w="4070"/>
            <w:tcMar>
              <w:top w:type="dxa" w:w="70"/>
              <w:left w:type="dxa" w:w="110"/>
              <w:bottom w:type="dxa" w:w="70"/>
              <w:right w:type="dxa" w:w="110"/>
            </w:tcMar>
          </w:tcPr>
          <w:p>
            <w:r>
              <w:rPr>
                <w:b w:val="false"/>
                <w:bCs w:val="false"/>
                <w:sz w:val="20"/>
                <w:szCs w:val="20"/>
              </w:rPr>
              <w:t xml:space="preserve">233 min</w:t>
            </w:r>
          </w:p>
        </w:tc>
      </w:tr>
      <w:tr>
        <w:tc>
          <w:tcPr>
            <w:tcW w:type="dxa" w:w="3000"/>
            <w:tcMar>
              <w:top w:type="dxa" w:w="70"/>
              <w:left w:type="dxa" w:w="110"/>
              <w:bottom w:type="dxa" w:w="70"/>
              <w:right w:type="dxa" w:w="110"/>
            </w:tcMar>
          </w:tcPr>
          <w:p>
            <w:r>
              <w:rPr>
                <w:b/>
                <w:bCs/>
                <w:sz w:val="20"/>
                <w:szCs w:val="20"/>
              </w:rPr>
              <w:t xml:space="preserve">10–30</w:t>
            </w:r>
          </w:p>
        </w:tc>
        <w:tc>
          <w:tcPr>
            <w:tcW w:type="dxa" w:w="2000"/>
            <w:tcMar>
              <w:top w:type="dxa" w:w="70"/>
              <w:left w:type="dxa" w:w="110"/>
              <w:bottom w:type="dxa" w:w="70"/>
              <w:right w:type="dxa" w:w="110"/>
            </w:tcMar>
          </w:tcPr>
          <w:p>
            <w:r>
              <w:rPr>
                <w:b w:val="false"/>
                <w:bCs w:val="false"/>
                <w:sz w:val="20"/>
                <w:szCs w:val="20"/>
              </w:rPr>
              <w:t xml:space="preserve">807</w:t>
            </w:r>
          </w:p>
        </w:tc>
        <w:tc>
          <w:tcPr>
            <w:tcW w:type="dxa" w:w="4070"/>
            <w:tcMar>
              <w:top w:type="dxa" w:w="70"/>
              <w:left w:type="dxa" w:w="110"/>
              <w:bottom w:type="dxa" w:w="70"/>
              <w:right w:type="dxa" w:w="110"/>
            </w:tcMar>
          </w:tcPr>
          <w:p>
            <w:r>
              <w:rPr>
                <w:b w:val="false"/>
                <w:bCs w:val="false"/>
                <w:sz w:val="20"/>
                <w:szCs w:val="20"/>
              </w:rPr>
              <w:t xml:space="preserve">630 min</w:t>
            </w:r>
          </w:p>
        </w:tc>
      </w:tr>
      <w:tr>
        <w:tc>
          <w:tcPr>
            <w:tcW w:type="dxa" w:w="3000"/>
            <w:tcMar>
              <w:top w:type="dxa" w:w="70"/>
              <w:left w:type="dxa" w:w="110"/>
              <w:bottom w:type="dxa" w:w="70"/>
              <w:right w:type="dxa" w:w="110"/>
            </w:tcMar>
          </w:tcPr>
          <w:p>
            <w:r>
              <w:rPr>
                <w:b/>
                <w:bCs/>
                <w:sz w:val="20"/>
                <w:szCs w:val="20"/>
              </w:rPr>
              <w:t xml:space="preserve">30–60</w:t>
            </w:r>
          </w:p>
        </w:tc>
        <w:tc>
          <w:tcPr>
            <w:tcW w:type="dxa" w:w="2000"/>
            <w:tcMar>
              <w:top w:type="dxa" w:w="70"/>
              <w:left w:type="dxa" w:w="110"/>
              <w:bottom w:type="dxa" w:w="70"/>
              <w:right w:type="dxa" w:w="110"/>
            </w:tcMar>
          </w:tcPr>
          <w:p>
            <w:r>
              <w:rPr>
                <w:b w:val="false"/>
                <w:bCs w:val="false"/>
                <w:sz w:val="20"/>
                <w:szCs w:val="20"/>
              </w:rPr>
              <w:t xml:space="preserve">201</w:t>
            </w:r>
          </w:p>
        </w:tc>
        <w:tc>
          <w:tcPr>
            <w:tcW w:type="dxa" w:w="4070"/>
            <w:tcMar>
              <w:top w:type="dxa" w:w="70"/>
              <w:left w:type="dxa" w:w="110"/>
              <w:bottom w:type="dxa" w:w="70"/>
              <w:right w:type="dxa" w:w="110"/>
            </w:tcMar>
          </w:tcPr>
          <w:p>
            <w:r>
              <w:rPr>
                <w:b w:val="false"/>
                <w:bCs w:val="false"/>
                <w:sz w:val="20"/>
                <w:szCs w:val="20"/>
              </w:rPr>
              <w:t xml:space="preserve">1,420 min</w:t>
            </w:r>
          </w:p>
        </w:tc>
      </w:tr>
      <w:tr>
        <w:tc>
          <w:tcPr>
            <w:tcW w:type="dxa" w:w="3000"/>
            <w:tcMar>
              <w:top w:type="dxa" w:w="70"/>
              <w:left w:type="dxa" w:w="110"/>
              <w:bottom w:type="dxa" w:w="70"/>
              <w:right w:type="dxa" w:w="110"/>
            </w:tcMar>
          </w:tcPr>
          <w:p>
            <w:r>
              <w:rPr>
                <w:b/>
                <w:bCs/>
                <w:sz w:val="20"/>
                <w:szCs w:val="20"/>
              </w:rPr>
              <w:t xml:space="preserve">60+</w:t>
            </w:r>
          </w:p>
        </w:tc>
        <w:tc>
          <w:tcPr>
            <w:tcW w:type="dxa" w:w="2000"/>
            <w:tcMar>
              <w:top w:type="dxa" w:w="70"/>
              <w:left w:type="dxa" w:w="110"/>
              <w:bottom w:type="dxa" w:w="70"/>
              <w:right w:type="dxa" w:w="110"/>
            </w:tcMar>
          </w:tcPr>
          <w:p>
            <w:r>
              <w:rPr>
                <w:b w:val="false"/>
                <w:bCs w:val="false"/>
                <w:sz w:val="20"/>
                <w:szCs w:val="20"/>
              </w:rPr>
              <w:t xml:space="preserve">42</w:t>
            </w:r>
          </w:p>
        </w:tc>
        <w:tc>
          <w:tcPr>
            <w:tcW w:type="dxa" w:w="4070"/>
            <w:tcMar>
              <w:top w:type="dxa" w:w="70"/>
              <w:left w:type="dxa" w:w="110"/>
              <w:bottom w:type="dxa" w:w="70"/>
              <w:right w:type="dxa" w:w="110"/>
            </w:tcMar>
          </w:tcPr>
          <w:p>
            <w:r>
              <w:rPr>
                <w:b w:val="false"/>
                <w:bCs w:val="false"/>
                <w:sz w:val="20"/>
                <w:szCs w:val="20"/>
              </w:rPr>
              <w:t xml:space="preserve">2,484 min</w:t>
            </w:r>
          </w:p>
        </w:tc>
      </w:tr>
    </w:tbl>
    <w:p>
      <w:pPr>
        <w:spacing w:after="160"/>
      </w:pPr>
      <w:r>
        <w:rPr>
          <w:sz w:val="21"/>
          <w:szCs w:val="21"/>
        </w:rPr>
        <w:t xml:space="preserve"/>
      </w:r>
    </w:p>
    <w:p>
      <w:pPr>
        <w:spacing w:after="140"/>
      </w:pPr>
      <w:r>
        <w:rPr>
          <w:sz w:val="21"/>
          <w:szCs w:val="21"/>
        </w:rPr>
        <w:t xml:space="preserve">This is the strongest signal in the study, and it is not a claim that price causes engagement. Price is standing in for production budget, scope and buyer intent — none of which this data measures. A separate cross-check on concurrent players per owner, computed across the whole 20,761-game cohort rather than the sample, reproduces the same gradient independently.</w:t>
      </w:r>
    </w:p>
    <w:p>
      <w:pPr>
        <w:pStyle w:val="Heading1"/>
        <w:spacing w:after="130" w:before="260"/>
      </w:pPr>
      <w:r>
        <w:rPr>
          <w:color w:val="1F3A5F"/>
        </w:rPr>
        <w:t xml:space="preserve">What didn't work</w:t>
      </w:r>
    </w:p>
    <w:p>
      <w:pPr>
        <w:spacing w:after="140"/>
      </w:pPr>
      <w:r>
        <w:rPr>
          <w:sz w:val="21"/>
          <w:szCs w:val="21"/>
        </w:rPr>
        <w:t xml:space="preserve">The headline metric died mid-project. The plan was to use SteamSpy's median playtime, which it still serves — as zeroes. All four playtime fields return zero for every one of the 1,000 apps on the first catalogue page, and for both apps I spot-checked by hand. The plain reading is that Steam's profile-privacy changes removed the sample those figures were derived from, leaving the old schema in place. Every playtime option the plan offered died at once.</w:t>
      </w:r>
    </w:p>
    <w:p>
      <w:pPr>
        <w:spacing w:after="140"/>
      </w:pPr>
      <w:r>
        <w:rPr>
          <w:sz w:val="21"/>
          <w:szCs w:val="21"/>
        </w:rPr>
        <w:t xml:space="preserve">The metric was rebuilt on per-player playtime from Steam review payloads, which are populated. That buys real data at the cost of a smaller sample and a second selection bias, both stated below.</w:t>
      </w:r>
    </w:p>
    <w:p>
      <w:pPr>
        <w:spacing w:after="140"/>
      </w:pPr>
      <w:r>
        <w:rPr>
          <w:sz w:val="21"/>
          <w:szCs w:val="21"/>
        </w:rPr>
        <w:t xml:space="preserve">Two further approaches were tried and rejected before the results above were possible.</w:t>
      </w:r>
    </w:p>
    <w:p>
      <w:pPr>
        <w:pStyle w:val="ListParagraph"/>
        <w:numPr>
          <w:ilvl w:val="0"/>
          <w:numId w:val="2"/>
        </w:numPr>
        <w:spacing w:after="90"/>
      </w:pPr>
      <w:r>
        <w:rPr>
          <w:sz w:val="21"/>
          <w:szCs w:val="21"/>
        </w:rPr>
        <w:t xml:space="preserve">Ranking genre tags by vote count. Dota 2's highest-voted tag is “Free to Play” at 60,040 votes, three times the next. That rule would have sorted every free game into a “Free to Play” stratum and left no cell containing both models — the strata would have restated the variable under test. Business-model tags are now excluded by name.</w:t>
      </w:r>
    </w:p>
    <w:p>
      <w:pPr>
        <w:pStyle w:val="ListParagraph"/>
        <w:numPr>
          <w:ilvl w:val="0"/>
          <w:numId w:val="2"/>
        </w:numPr>
        <w:spacing w:after="90"/>
      </w:pPr>
      <w:r>
        <w:rPr>
          <w:sz w:val="21"/>
          <w:szCs w:val="21"/>
        </w:rPr>
        <w:t xml:space="preserve">Using the highest-voted eligible tag. Steam's umbrella tags outrank the informative ones on most games, so this put 65% of the cohort into buckets like “Action” or “Casual” — no better than the store genres the tags were meant to replace. Specific tags now beat umbrellas regardless of votes, which brought that to 18%.</w:t>
      </w:r>
    </w:p>
    <w:p>
      <w:pPr>
        <w:pStyle w:val="Heading1"/>
        <w:spacing w:after="130" w:before="260"/>
      </w:pPr>
      <w:r>
        <w:rPr>
          <w:color w:val="1F3A5F"/>
        </w:rPr>
        <w:t xml:space="preserve">Limitations</w:t>
      </w:r>
    </w:p>
    <w:p>
      <w:pPr>
        <w:pStyle w:val="ListParagraph"/>
        <w:numPr>
          <w:ilvl w:val="0"/>
          <w:numId w:val="2"/>
        </w:numPr>
        <w:spacing w:after="90"/>
      </w:pPr>
      <w:r>
        <w:rPr>
          <w:sz w:val="21"/>
          <w:szCs w:val="21"/>
        </w:rPr>
        <w:t xml:space="preserve">A median over reviewers is not a median over owners. People who write reviews have played more than people who don't, so every playtime figure is biased upward. It stays comparable across games, which is what the question needs, but it is not an estimate of what a typical owner played.</w:t>
      </w:r>
    </w:p>
    <w:p>
      <w:pPr>
        <w:pStyle w:val="ListParagraph"/>
        <w:numPr>
          <w:ilvl w:val="0"/>
          <w:numId w:val="2"/>
        </w:numPr>
        <w:spacing w:after="90"/>
      </w:pPr>
      <w:r>
        <w:rPr>
          <w:sz w:val="21"/>
          <w:szCs w:val="21"/>
        </w:rPr>
        <w:t xml:space="preserve">Attrition is uneven. 700 of the 3,497 sampled games had fewer than 30 reviewers and were dropped rather than given a median on thin evidence — 22.5% of paid games against 16.5% of free ones. The paid sample therefore lost more of its small titles, and small titles plausibly play shorter, so the gap is more likely overstated than understated.</w:t>
      </w:r>
    </w:p>
    <w:p>
      <w:pPr>
        <w:pStyle w:val="ListParagraph"/>
        <w:numPr>
          <w:ilvl w:val="0"/>
          <w:numId w:val="2"/>
        </w:numPr>
        <w:spacing w:after="90"/>
      </w:pPr>
      <w:r>
        <w:rPr>
          <w:sz w:val="21"/>
          <w:szCs w:val="21"/>
        </w:rPr>
        <w:t xml:space="preserve">Current state is not launch state. Both sources report what is true today, so a paid game that went free years ago reads as free. This study cannot say what conversion does to a specific title; that needs a before-and-after on the same game.</w:t>
      </w:r>
    </w:p>
    <w:p>
      <w:pPr>
        <w:pStyle w:val="ListParagraph"/>
        <w:numPr>
          <w:ilvl w:val="0"/>
          <w:numId w:val="2"/>
        </w:numPr>
        <w:spacing w:after="90"/>
      </w:pPr>
      <w:r>
        <w:rPr>
          <w:sz w:val="21"/>
          <w:szCs w:val="21"/>
        </w:rPr>
        <w:t xml:space="preserve">Survivorship. The owner floor excludes games that flopped, tilting the sample toward titles that found an audience.</w:t>
      </w:r>
    </w:p>
    <w:p>
      <w:pPr>
        <w:pStyle w:val="ListParagraph"/>
        <w:numPr>
          <w:ilvl w:val="0"/>
          <w:numId w:val="2"/>
        </w:numPr>
        <w:spacing w:after="90"/>
      </w:pPr>
      <w:r>
        <w:rPr>
          <w:sz w:val="21"/>
          <w:szCs w:val="21"/>
        </w:rPr>
        <w:t xml:space="preserve">Engagement is not monetisation. There is no revenue data here at all. A free game that plays half as long may still earn more per player.</w:t>
      </w:r>
    </w:p>
    <w:p>
      <w:pPr>
        <w:pStyle w:val="Heading1"/>
        <w:spacing w:after="130" w:before="260"/>
      </w:pPr>
      <w:r>
        <w:rPr>
          <w:color w:val="1F3A5F"/>
        </w:rPr>
        <w:t xml:space="preserve">What I would do with this</w:t>
      </w:r>
    </w:p>
    <w:p>
      <w:pPr>
        <w:pStyle w:val="ListParagraph"/>
        <w:numPr>
          <w:ilvl w:val="0"/>
          <w:numId w:val="2"/>
        </w:numPr>
        <w:spacing w:after="90"/>
      </w:pPr>
      <w:r>
        <w:rPr>
          <w:sz w:val="21"/>
          <w:szCs w:val="21"/>
        </w:rPr>
        <w:t xml:space="preserve">Treat a free-to-play launch as a distribution decision, not an engagement one. It buys reach; this data gives no reason to expect it to buy time played.</w:t>
      </w:r>
    </w:p>
    <w:p>
      <w:pPr>
        <w:pStyle w:val="ListParagraph"/>
        <w:numPr>
          <w:ilvl w:val="0"/>
          <w:numId w:val="2"/>
        </w:numPr>
        <w:spacing w:after="90"/>
      </w:pPr>
      <w:r>
        <w:rPr>
          <w:sz w:val="21"/>
          <w:szCs w:val="21"/>
        </w:rPr>
        <w:t xml:space="preserve">Check the genre's session structure before assuming the model transfers. Free-to-play held its own only in loops designed for long passive play.</w:t>
      </w:r>
    </w:p>
    <w:p>
      <w:pPr>
        <w:pStyle w:val="ListParagraph"/>
        <w:numPr>
          <w:ilvl w:val="0"/>
          <w:numId w:val="2"/>
        </w:numPr>
        <w:spacing w:after="90"/>
      </w:pPr>
      <w:r>
        <w:rPr>
          <w:sz w:val="21"/>
          <w:szCs w:val="21"/>
        </w:rPr>
        <w:t xml:space="preserve">Pair this with revenue per player before making a pricing call. Engagement is half the question, and the half this data cannot answer.</w:t>
      </w:r>
    </w:p>
    <w:p>
      <w:pPr>
        <w:pStyle w:val="Heading1"/>
        <w:spacing w:after="130" w:before="260"/>
      </w:pPr>
      <w:r>
        <w:rPr>
          <w:color w:val="1F3A5F"/>
        </w:rPr>
        <w:t xml:space="preserve">Reproducing it</w:t>
      </w:r>
    </w:p>
    <w:p>
      <w:pPr>
        <w:spacing w:after="140"/>
      </w:pPr>
      <w:r>
        <w:rPr>
          <w:sz w:val="21"/>
          <w:szCs w:val="21"/>
        </w:rPr>
        <w:t xml:space="preserve">Every API response is cached to disk untransformed, so a re-run returns identical data and an interrupted pull resumes rather than restarting. 105 tests cover the pull, the cohort construction, the interval handling and the statistics — including the rank test, which is implemented directly rather than imported.</w:t>
      </w:r>
    </w:p>
    <w:p>
      <w:pPr>
        <w:spacing w:after="140"/>
      </w:pPr>
      <w:r>
        <w:rPr>
          <w:color w:val="555555"/>
          <w:sz w:val="19"/>
          <w:szCs w:val="19"/>
        </w:rPr>
        <w:t xml:space="preserve">Source: github.com/EileenIp/steam-pricing-engagement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2026-09-13T09:16:54.847Z</dcterms:created>
  <dcterms:modified xsi:type="dcterms:W3CDTF">2026-09-13T09:16:54.848Z</dcterms:modified>
</cp:coreProperties>
</file>

<file path=docProps/custom.xml><?xml version="1.0" encoding="utf-8"?>
<Properties xmlns="http://schemas.openxmlformats.org/officeDocument/2006/custom-properties" xmlns:vt="http://schemas.openxmlformats.org/officeDocument/2006/docPropsVTypes"/>
</file>