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A3AA7"/>
          <w:spacing w:val="30"/>
          <w:sz w:val="20"/>
          <w:szCs w:val="20"/>
        </w:rPr>
        <w:t xml:space="preserve">RETENTION SIGNAL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7151F"/>
          <w:sz w:val="52"/>
          <w:szCs w:val="52"/>
        </w:rPr>
        <w:t xml:space="preserve">Subscriber Churn Risk × Value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06B"/>
          <w:sz w:val="24"/>
          <w:szCs w:val="24"/>
        </w:rPr>
        <w:t xml:space="preserve">Which music-streaming subscribers are about to cancel, and which of them are actually worth spending a retention budget on.</w:t>
      </w:r>
    </w:p>
    <w:p>
      <w:pPr>
        <w:spacing w:after="300"/>
      </w:pPr>
      <w:r>
        <w:rPr>
          <w:rFonts w:ascii="Calibri" w:cs="Calibri" w:eastAsia="Calibri" w:hAnsi="Calibri"/>
          <w:color w:val="55506B"/>
          <w:sz w:val="18"/>
          <w:szCs w:val="18"/>
        </w:rPr>
        <w:t xml:space="preserve">Written report · September 2026 · Real KKBox subscription transaction data (2015–2017)</w:t>
      </w:r>
    </w:p>
    <w:p>
      <w:pPr>
        <w:pStyle w:val="Heading1"/>
        <w:keepNext/>
        <w:spacing w:after="130" w:before="180"/>
      </w:pPr>
      <w:r>
        <w:t xml:space="preserve">Executive Summary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A churn score alone tells a retention team who is about to leave. It doesn't tell them who is worth spending money to keep. This project builds both halves: a churn risk model on real subscription transaction data, and a real-dollar value axis crossed against it — so retention spend goes where it actually returns.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shd w:fill="F1EF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392C85"/>
                <w:sz w:val="34"/>
                <w:szCs w:val="34"/>
              </w:rPr>
              <w:t xml:space="preserve">268,828</w:t>
            </w:r>
          </w:p>
          <w:p>
            <w:r>
              <w:rPr>
                <w:rFonts w:ascii="Calibri" w:cs="Calibri" w:eastAsia="Calibri" w:hAnsi="Calibri"/>
                <w:color w:val="55506B"/>
                <w:sz w:val="16"/>
                <w:szCs w:val="16"/>
              </w:rPr>
              <w:t xml:space="preserve">subscribers scored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shd w:fill="F1EF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392C85"/>
                <w:sz w:val="34"/>
                <w:szCs w:val="34"/>
              </w:rPr>
              <w:t xml:space="preserve">39.7%</w:t>
            </w:r>
          </w:p>
          <w:p>
            <w:r>
              <w:rPr>
                <w:rFonts w:ascii="Calibri" w:cs="Calibri" w:eastAsia="Calibri" w:hAnsi="Calibri"/>
                <w:color w:val="55506B"/>
                <w:sz w:val="16"/>
                <w:szCs w:val="16"/>
              </w:rPr>
              <w:t xml:space="preserve">actually cancel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shd w:fill="F1EF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392C85"/>
                <w:sz w:val="34"/>
                <w:szCs w:val="34"/>
              </w:rPr>
              <w:t xml:space="preserve">45.9%</w:t>
            </w:r>
          </w:p>
          <w:p>
            <w:r>
              <w:rPr>
                <w:rFonts w:ascii="Calibri" w:cs="Calibri" w:eastAsia="Calibri" w:hAnsi="Calibri"/>
                <w:color w:val="55506B"/>
                <w:sz w:val="16"/>
                <w:szCs w:val="16"/>
              </w:rPr>
              <w:t xml:space="preserve">precision at the deployed threshold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4A3AA7"/>
                <w:sz w:val="34"/>
                <w:szCs w:val="34"/>
              </w:rPr>
              <w:t xml:space="preserve">84.2%</w:t>
            </w:r>
          </w:p>
          <w:p>
            <w:r>
              <w:rPr>
                <w:rFonts w:ascii="Calibri" w:cs="Calibri" w:eastAsia="Calibri" w:hAnsi="Calibri"/>
                <w:color w:val="55506B"/>
                <w:sz w:val="16"/>
                <w:szCs w:val="16"/>
              </w:rPr>
              <w:t xml:space="preserve">of cancellations caught</w:t>
            </w:r>
          </w:p>
        </w:tc>
      </w:tr>
    </w:tbl>
    <w:p>
      <w:pPr>
        <w:spacing w:after="200"/>
      </w:pP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The recommendation, in one sentence: focus proactive, costed retention offers on the 120,422 subscribers (44.8% of the base) in the Priority Save quadrant — high predicted risk and above-median spend, where 47.6% actually cancel and the value at stake is real. Everyone else gets a cheaper or no intervention, not because they don't matter, but because the assumed economics ($75 offer cost against a $894 potential retained value, at a 30% success rate) don't justify the same spend on lower-value or lower-risk subscribers.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This is built on 21.5 million real transactions from a real music-streaming subscription service (KKBox, WSDM Cup 2018) — not a synthetic or engagement-proxy dataset. The churn definition (no renewal within 30 days of a subscription's expiry) was derived from this data's own renewal-gap curve, not copied from industry convention. Three real methodological bugs were found and fixed during development — not hidden — and the deployed model (LightGBM) is honestly reported as less accurate than a logistic regression baseline on this data; it is deployed anyway for the plain-language, per-subscriber explanations its SHAP support enables.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b/>
          <w:bCs/>
          <w:color w:val="17151F"/>
          <w:sz w:val="22"/>
          <w:szCs w:val="22"/>
        </w:rPr>
        <w:t xml:space="preserve">Read only this page and you can act correctly: spend on Priority Save first, understand that the population overall churns at 39.7%, and know that every dollar figure past this page is built from real data under stated, adjustable assumptions — never invented.</w:t>
      </w:r>
    </w:p>
    <w:p>
      <w:r>
        <w:br w:type="page"/>
      </w:r>
    </w:p>
    <w:p>
      <w:pPr>
        <w:pStyle w:val="Heading1"/>
        <w:keepNext/>
        <w:spacing w:after="130" w:before="180"/>
      </w:pPr>
      <w:r>
        <w:t xml:space="preserve">Findings</w:t>
      </w:r>
    </w:p>
    <w:p>
      <w:pPr>
        <w:pStyle w:val="Heading2"/>
        <w:keepNext/>
        <w:spacing w:after="90" w:before="170"/>
      </w:pPr>
      <w:r>
        <w:t xml:space="preserve">Data &amp; method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21,547,746 real transactions from a music-streaming subscriber base, January 2015 through February 2017. Churn is defined as no new transaction within 30 days of a subscription's expiry — chosen because that is where this data's own renewal-gap curve flattens (96.8% of all renewals that happen occur within 30 days of expiry; the rest is a long, thin tail). Validation is out-of-time: the model trains on an earlier period and is tested on a genuinely later, disjoint set of subscribers — never a random split, which would flatter the result.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Every data-quality issue found was investigated and handled deliberately, not assumed away: same-day billing-correction transactions (2.5% of rows), pre-registration transactions (153 rows), and cancellation-linked expiry anomalies (which turned out to be 95.8% legitimate cancellation records, not defects) were each quantified and resolved on their own terms.</w:t>
      </w:r>
    </w:p>
    <w:p>
      <w:pPr>
        <w:pStyle w:val="Heading2"/>
        <w:keepNext/>
        <w:spacing w:after="90" w:before="170"/>
      </w:pPr>
      <w:r>
        <w:t xml:space="preserve">The model, reported honestly</w:t>
      </w:r>
    </w:p>
    <w:tbl>
      <w:tblPr>
        <w:tblW w:type="pct" w:w="100%"/>
        <w:tblBorders>
          <w:top w:val="single" w:color="C3C2B7" w:sz="4"/>
          <w:left w:val="none"/>
          <w:bottom w:val="single" w:color="C3C2B7" w:sz="4"/>
          <w:right w:val="none"/>
          <w:insideH w:val="single" w:color="E1E0D9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pct" w:w="33.333333333333336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PR-AUC</w:t>
            </w:r>
          </w:p>
        </w:tc>
        <w:tc>
          <w:tcPr>
            <w:tcW w:type="pct" w:w="33.333333333333336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51F"/>
                <w:sz w:val="20"/>
                <w:szCs w:val="20"/>
              </w:rPr>
              <w:t xml:space="preserve">Recency rule</w:t>
            </w:r>
          </w:p>
        </w:tc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0.618</w:t>
            </w:r>
          </w:p>
        </w:tc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0.567</w:t>
            </w:r>
          </w:p>
        </w:tc>
      </w:tr>
      <w:tr>
        <w:tc>
          <w:tcPr>
            <w:tcW w:type="pct" w:w="33.333333333333336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51F"/>
                <w:sz w:val="20"/>
                <w:szCs w:val="20"/>
              </w:rPr>
              <w:t xml:space="preserve">LightGBM (deployed)</w:t>
            </w:r>
          </w:p>
        </w:tc>
        <w:tc>
          <w:tcPr>
            <w:tcW w:type="pct" w:w="33.333333333333336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0.647</w:t>
            </w:r>
          </w:p>
        </w:tc>
        <w:tc>
          <w:tcPr>
            <w:tcW w:type="pct" w:w="33.333333333333336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0.676</w:t>
            </w:r>
          </w:p>
        </w:tc>
      </w:tr>
      <w:tr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51F"/>
                <w:sz w:val="20"/>
                <w:szCs w:val="20"/>
              </w:rPr>
              <w:t xml:space="preserve">Logistic regression</w:t>
            </w:r>
          </w:p>
        </w:tc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0.925</w:t>
            </w:r>
          </w:p>
        </w:tc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0.936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06B"/>
          <w:sz w:val="18"/>
          <w:szCs w:val="18"/>
        </w:rPr>
        <w:t xml:space="preserve">PR-AUC on real, out-of-time validation. Higher is better.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Logistic regression is the most accurate of the three approaches on this data — reported plainly, not buried in favour of the more sophisticated model. LightGBM is deployed anyway, because its native SHAP support is what lets the dashboard tell a retention team why a specific subscriber is flagged, not just that they are. LightGBM does still clear the bar the spec set: it beats the simple recency-rule baseline on the headline metric.</w:t>
      </w:r>
    </w:p>
    <w:p>
      <w:pPr>
        <w:pStyle w:val="Heading2"/>
        <w:keepNext/>
        <w:spacing w:after="90" w:before="170"/>
      </w:pPr>
      <w:r>
        <w:t xml:space="preserve">Three subscriber segments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Subscribers group into three behavioural segments — built from recency, frequency, spend, and tenure alone, never from whether they actually churned:</w:t>
      </w:r>
    </w:p>
    <w:tbl>
      <w:tblPr>
        <w:tblW w:type="pct" w:w="100%"/>
        <w:tblBorders>
          <w:top w:val="single" w:color="C3C2B7" w:sz="4"/>
          <w:left w:val="none"/>
          <w:bottom w:val="single" w:color="C3C2B7" w:sz="4"/>
          <w:right w:val="none"/>
          <w:insideH w:val="single" w:color="E1E0D9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pct" w:w="25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pct" w:w="25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Churn rate</w:t>
            </w:r>
          </w:p>
        </w:tc>
        <w:tc>
          <w:tcPr>
            <w:tcW w:type="pct" w:w="25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Avg. spend</w:t>
            </w:r>
          </w:p>
        </w:tc>
      </w:tr>
      <w:tr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51F"/>
                <w:sz w:val="20"/>
                <w:szCs w:val="20"/>
              </w:rPr>
              <w:t xml:space="preserve">Drifting Standard Subscribers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144,725 (53.8%)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55.8%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$129</w:t>
            </w:r>
          </w:p>
        </w:tc>
      </w:tr>
      <w:tr>
        <w:tc>
          <w:tcPr>
            <w:tcW w:type="pct" w:w="25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51F"/>
                <w:sz w:val="20"/>
                <w:szCs w:val="20"/>
              </w:rPr>
              <w:t xml:space="preserve">Loyal Frequent Renewers</w:t>
            </w:r>
          </w:p>
        </w:tc>
        <w:tc>
          <w:tcPr>
            <w:tcW w:type="pct" w:w="25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116,789 (43.4%)</w:t>
            </w:r>
          </w:p>
        </w:tc>
        <w:tc>
          <w:tcPr>
            <w:tcW w:type="pct" w:w="25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17.0%</w:t>
            </w:r>
          </w:p>
        </w:tc>
        <w:tc>
          <w:tcPr>
            <w:tcW w:type="pct" w:w="25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$144</w:t>
            </w:r>
          </w:p>
        </w:tc>
      </w:tr>
      <w:tr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51F"/>
                <w:sz w:val="20"/>
                <w:szCs w:val="20"/>
              </w:rPr>
              <w:t xml:space="preserve">High-Value Subscribers Going Dark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7,314 (2.7%)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81.9%</w:t>
            </w:r>
          </w:p>
        </w:tc>
        <w:tc>
          <w:tcPr>
            <w:tcW w:type="pct" w:w="25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$977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5506B"/>
          <w:sz w:val="18"/>
          <w:szCs w:val="18"/>
        </w:rPr>
        <w:t xml:space="preserve">K-Means, k=3 (chosen by elbow + silhouette sweep, k=2..8). The third segment is small but pays roughly 7x the average per transaction — a disproportionate revenue exposure hiding in a 2.7% slice of the base.</w:t>
      </w:r>
    </w:p>
    <w:p>
      <w:pPr>
        <w:pStyle w:val="Heading1"/>
        <w:keepNext/>
        <w:spacing w:after="130" w:before="180"/>
      </w:pPr>
      <w:r>
        <w:t xml:space="preserve">Risk × Value: the Priority Order for Retention Spend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Every subscriber sits in exactly one of four cells — churn risk from the deployed model (threshold 0.88) crossed against real spend (above/below the median $149, which also happens to be the modal single-plan price in the data).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W w:type="pct" w:w="50%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BE6E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7151F"/>
                <w:sz w:val="24"/>
                <w:szCs w:val="24"/>
              </w:rPr>
              <w:t xml:space="preserve">Priority Save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D03B3B"/>
                <w:sz w:val="16"/>
                <w:szCs w:val="16"/>
              </w:rPr>
              <w:t xml:space="preserve">ACT NOW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17151F"/>
                <w:sz w:val="26"/>
                <w:szCs w:val="26"/>
              </w:rPr>
              <w:t xml:space="preserve">120,422  </w:t>
            </w:r>
            <w:r>
              <w:rPr>
                <w:rFonts w:ascii="Calibri" w:cs="Calibri" w:eastAsia="Calibri" w:hAnsi="Calibri"/>
                <w:color w:val="55506B"/>
                <w:sz w:val="18"/>
                <w:szCs w:val="18"/>
              </w:rPr>
              <w:t xml:space="preserve">(44.8%)</w:t>
            </w:r>
          </w:p>
          <w:p>
            <w:r>
              <w:rPr>
                <w:rFonts w:ascii="Cambria" w:cs="Cambria" w:eastAsia="Cambria" w:hAnsi="Cambria"/>
                <w:b/>
                <w:bCs/>
                <w:color w:val="D03B3B"/>
                <w:sz w:val="22"/>
                <w:szCs w:val="22"/>
              </w:rPr>
              <w:t xml:space="preserve">47.6% churn</w:t>
            </w:r>
            <w:r>
              <w:rPr>
                <w:rFonts w:ascii="Calibri" w:cs="Calibri" w:eastAsia="Calibri" w:hAnsi="Calibri"/>
                <w:color w:val="55506B"/>
                <w:sz w:val="18"/>
                <w:szCs w:val="18"/>
              </w:rPr>
              <w:t xml:space="preserve">   $190 avg. spend</w:t>
            </w:r>
          </w:p>
        </w:tc>
        <w:tc>
          <w:tcPr>
            <w:tcW w:type="pct" w:w="50%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DEEE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7151F"/>
                <w:sz w:val="24"/>
                <w:szCs w:val="24"/>
              </w:rPr>
              <w:t xml:space="preserve">Low-Cost Nudge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C1531F"/>
                <w:sz w:val="16"/>
                <w:szCs w:val="16"/>
              </w:rPr>
              <w:t xml:space="preserve">LOW-COST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17151F"/>
                <w:sz w:val="26"/>
                <w:szCs w:val="26"/>
              </w:rPr>
              <w:t xml:space="preserve">75,240  </w:t>
            </w:r>
            <w:r>
              <w:rPr>
                <w:rFonts w:ascii="Calibri" w:cs="Calibri" w:eastAsia="Calibri" w:hAnsi="Calibri"/>
                <w:color w:val="55506B"/>
                <w:sz w:val="18"/>
                <w:szCs w:val="18"/>
              </w:rPr>
              <w:t xml:space="preserve">(28.0%)</w:t>
            </w:r>
          </w:p>
          <w:p>
            <w:r>
              <w:rPr>
                <w:rFonts w:ascii="Cambria" w:cs="Cambria" w:eastAsia="Cambria" w:hAnsi="Cambria"/>
                <w:b/>
                <w:bCs/>
                <w:color w:val="C1531F"/>
                <w:sz w:val="22"/>
                <w:szCs w:val="22"/>
              </w:rPr>
              <w:t xml:space="preserve">43.1% churn</w:t>
            </w:r>
            <w:r>
              <w:rPr>
                <w:rFonts w:ascii="Calibri" w:cs="Calibri" w:eastAsia="Calibri" w:hAnsi="Calibri"/>
                <w:color w:val="55506B"/>
                <w:sz w:val="18"/>
                <w:szCs w:val="18"/>
              </w:rPr>
              <w:t xml:space="preserve">   $88 avg. spend</w:t>
            </w:r>
          </w:p>
        </w:tc>
      </w:tr>
      <w:tr>
        <w:tc>
          <w:tcPr>
            <w:tcW w:type="pct" w:w="50%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DF0D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7151F"/>
                <w:sz w:val="24"/>
                <w:szCs w:val="24"/>
              </w:rPr>
              <w:t xml:space="preserve">Quiet Value — Monitor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MONITOR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17151F"/>
                <w:sz w:val="26"/>
                <w:szCs w:val="26"/>
              </w:rPr>
              <w:t xml:space="preserve">32,857  </w:t>
            </w:r>
            <w:r>
              <w:rPr>
                <w:rFonts w:ascii="Calibri" w:cs="Calibri" w:eastAsia="Calibri" w:hAnsi="Calibri"/>
                <w:color w:val="55506B"/>
                <w:sz w:val="18"/>
                <w:szCs w:val="18"/>
              </w:rPr>
              <w:t xml:space="preserve">(12.2%)</w:t>
            </w:r>
          </w:p>
          <w:p>
            <w:r>
              <w:rPr>
                <w:rFonts w:ascii="Cambria" w:cs="Cambria" w:eastAsia="Cambria" w:hAnsi="Cambria"/>
                <w:b/>
                <w:bCs/>
                <w:color w:val="B8860B"/>
                <w:sz w:val="22"/>
                <w:szCs w:val="22"/>
              </w:rPr>
              <w:t xml:space="preserve">39.6% churn</w:t>
            </w:r>
            <w:r>
              <w:rPr>
                <w:rFonts w:ascii="Calibri" w:cs="Calibri" w:eastAsia="Calibri" w:hAnsi="Calibri"/>
                <w:color w:val="55506B"/>
                <w:sz w:val="18"/>
                <w:szCs w:val="18"/>
              </w:rPr>
              <w:t xml:space="preserve">   $263 avg. spend</w:t>
            </w:r>
          </w:p>
        </w:tc>
        <w:tc>
          <w:tcPr>
            <w:tcW w:type="pct" w:w="50%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3F6E3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17151F"/>
                <w:sz w:val="24"/>
                <w:szCs w:val="24"/>
              </w:rPr>
              <w:t xml:space="preserve">Stable, No Action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16"/>
                <w:szCs w:val="16"/>
              </w:rPr>
              <w:t xml:space="preserve">NO ACTION</w:t>
            </w:r>
          </w:p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17151F"/>
                <w:sz w:val="26"/>
                <w:szCs w:val="26"/>
              </w:rPr>
              <w:t xml:space="preserve">40,309  </w:t>
            </w:r>
            <w:r>
              <w:rPr>
                <w:rFonts w:ascii="Calibri" w:cs="Calibri" w:eastAsia="Calibri" w:hAnsi="Calibri"/>
                <w:color w:val="55506B"/>
                <w:sz w:val="18"/>
                <w:szCs w:val="18"/>
              </w:rPr>
              <w:t xml:space="preserve">(15.0%)</w:t>
            </w:r>
          </w:p>
          <w:p>
            <w:r>
              <w:rPr>
                <w:rFonts w:ascii="Cambria" w:cs="Cambria" w:eastAsia="Cambria" w:hAnsi="Cambria"/>
                <w:b/>
                <w:bCs/>
                <w:color w:val="0CA30C"/>
                <w:sz w:val="22"/>
                <w:szCs w:val="22"/>
              </w:rPr>
              <w:t xml:space="preserve">9.5% churn</w:t>
            </w:r>
            <w:r>
              <w:rPr>
                <w:rFonts w:ascii="Calibri" w:cs="Calibri" w:eastAsia="Calibri" w:hAnsi="Calibri"/>
                <w:color w:val="55506B"/>
                <w:sz w:val="18"/>
                <w:szCs w:val="18"/>
              </w:rPr>
              <w:t xml:space="preserve">   $111 avg. spend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90" w:before="170"/>
      </w:pPr>
      <w:r>
        <w:t xml:space="preserve">Recommendation, per quadrant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Priority Save — proactive outreach with a real offer. Highest revenue at stake per member saved.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Low-Cost Nudge — automated, passive retention only. The assumed offer cost isn't justified by the value here.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Quiet Value — Monitor — not “safe”: 39.6% of this group still actually cancels. A light-touch periodic check-in, short of full Priority Save spend.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Stable, No Action — genuinely low risk and low value. Leave alone.</w:t>
      </w:r>
    </w:p>
    <w:p>
      <w:pPr>
        <w:pStyle w:val="Heading1"/>
        <w:keepNext/>
        <w:spacing w:after="130" w:before="180"/>
      </w:pPr>
      <w:r>
        <w:t xml:space="preserve">What It Would Cost and Return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The figures below follow directly from real precision/recall numbers on real validation data, multiplied by three ASSUMED unit-economics inputs — stated explicitly here because the whole recommendation is sensitive to them, not because they were measured from this dataset.</w:t>
      </w:r>
    </w:p>
    <w:tbl>
      <w:tblPr>
        <w:tblW w:type="pct" w:w="100%"/>
        <w:tblBorders>
          <w:top w:val="single" w:color="C3C2B7" w:sz="4"/>
          <w:left w:val="none"/>
          <w:bottom w:val="single" w:color="C3C2B7" w:sz="4"/>
          <w:right w:val="none"/>
          <w:insideH w:val="single" w:color="E1E0D9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pct" w:w="33.333333333333336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pct" w:w="33.333333333333336%"/>
            <w:shd w:fill="392C8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51F"/>
                <w:sz w:val="20"/>
                <w:szCs w:val="20"/>
              </w:rPr>
              <w:t xml:space="preserve">Retention offer cost</w:t>
            </w:r>
          </w:p>
        </w:tc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$75</w:t>
            </w:r>
          </w:p>
        </w:tc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Half the modal $149 monthly plan — a token discount</w:t>
            </w:r>
          </w:p>
        </w:tc>
      </w:tr>
      <w:tr>
        <w:tc>
          <w:tcPr>
            <w:tcW w:type="pct" w:w="33.333333333333336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51F"/>
                <w:sz w:val="20"/>
                <w:szCs w:val="20"/>
              </w:rPr>
              <w:t xml:space="preserve">Value of a retained subscriber</w:t>
            </w:r>
          </w:p>
        </w:tc>
        <w:tc>
          <w:tcPr>
            <w:tcW w:type="pct" w:w="33.333333333333336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$894</w:t>
            </w:r>
          </w:p>
        </w:tc>
        <w:tc>
          <w:tcPr>
            <w:tcW w:type="pct" w:w="33.333333333333336%"/>
            <w:shd w:fill="F1E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6× modal plan price (149 × 6) — also itself a real observed plan price</w:t>
            </w:r>
          </w:p>
        </w:tc>
      </w:tr>
      <w:tr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51F"/>
                <w:sz w:val="20"/>
                <w:szCs w:val="20"/>
              </w:rPr>
              <w:t xml:space="preserve">Offer success rate</w:t>
            </w:r>
          </w:p>
        </w:tc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30%</w:t>
            </w:r>
          </w:p>
        </w:tc>
        <w:tc>
          <w:tcPr>
            <w:tcW w:type="pct" w:w="33.333333333333336%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151F"/>
                <w:sz w:val="20"/>
                <w:szCs w:val="20"/>
              </w:rPr>
              <w:t xml:space="preserve">A commonly-cited industry figure, not derived from this data</w:t>
            </w:r>
          </w:p>
        </w:tc>
      </w:tr>
    </w:tbl>
    <w:p>
      <w:pPr>
        <w:spacing w:after="160"/>
      </w:pP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b w:val="false"/>
          <w:bCs w:val="false"/>
          <w:color w:val="17151F"/>
          <w:sz w:val="22"/>
          <w:szCs w:val="22"/>
        </w:rPr>
        <w:t xml:space="preserve">At the deployed threshold (0.88, chosen to maximise total expected net benefit under these assumptions): 195,662 subscribers flagged (72.8% of the base), 45.9% precision, 84.2% recall, an estimated $9.4M in net benefit. The threshold flags a wide majority of the base deliberately — a cheap offer against a high potential payoff makes almost any positive-precision threshold profitable under this cost model, so the optimum favours reach over restraint. Different assumptions would move this threshold; that sensitivity is the point of stating them.</w:t>
      </w:r>
    </w:p>
    <w:p>
      <w:pPr>
        <w:pStyle w:val="Heading1"/>
        <w:keepNext/>
        <w:spacing w:after="130" w:before="180"/>
      </w:pPr>
      <w:r>
        <w:t xml:space="preserve">Limitations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55506B"/>
          <w:sz w:val="18"/>
          <w:szCs w:val="18"/>
        </w:rPr>
        <w:t xml:space="preserve">Drafted from findings already established in this project; final judgment on scope and framing is Eileen's, per this project's own working discipline.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Listening-activity data is thin. Only March 2017 (one month) of real listening intensity exists in this dataset — used for live scoring only, never backtested against a real future outcome.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The 30% offer success rate is an assumption, not a measurement. No A/B test of an actual retention offer exists yet against this population — that is the single highest-value next step.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This churn rate (39.7%) is not the well-known WSDM benchmark (9.0%). The difference is methodology, not miscalibration: this analysis evaluates every subscriber with enough history as of a reference date, including many who lapsed long ago and never returned, while the published benchmark snapshots only currently-active subscribers at one point in time.</w:t>
      </w:r>
    </w:p>
    <w:p>
      <w:pPr>
        <w:pStyle w:val="Heading2"/>
        <w:keepNext/>
        <w:spacing w:after="90" w:before="170"/>
      </w:pPr>
      <w:r>
        <w:t xml:space="preserve">Next steps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A/B test the retention offers against a real holdout — replaces the 30% assumption with a measured number.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Extend listening-activity history beyond one month, so intensity features can be backtested rather than used for live scoring only.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Establish a retrain cadence and drift monitoring — subscriber behaviour and pricing both move over time.</w:t>
      </w:r>
    </w:p>
    <w:p>
      <w:r>
        <w:br w:type="page"/>
      </w:r>
    </w:p>
    <w:p>
      <w:pPr>
        <w:pStyle w:val="Heading1"/>
        <w:keepNext/>
        <w:spacing w:after="130" w:before="180"/>
      </w:pPr>
      <w:r>
        <w:t xml:space="preserve">Appendix: Method</w:t>
      </w:r>
    </w:p>
    <w:p>
      <w:pPr>
        <w:pStyle w:val="Heading2"/>
        <w:keepNext/>
        <w:spacing w:after="90" w:before="170"/>
      </w:pPr>
      <w:r>
        <w:t xml:space="preserve">Churn definition and windowing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A member is counted as churned if no new transaction occurs within 30 days of a subscription's membership_expire_date. This threshold was chosen by examining the cumulative distribution of renewal gaps in this data directly: 77.7% of renewals happen on or before expiry (auto-renew), 90.1% within 1 day, and 96.8% within 30 days — the point where the curve is essentially flat. Features for each labeled subscriber are built from their full transaction history strictly before the labeling cutoff — never a fixed rolling window, and never anything on or after the cutoff itself.</w:t>
      </w:r>
    </w:p>
    <w:p>
      <w:pPr>
        <w:pStyle w:val="Heading2"/>
        <w:keepNext/>
        <w:spacing w:after="90" w:before="170"/>
      </w:pPr>
      <w:r>
        <w:t xml:space="preserve">Leakage tests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Four tests guard the feature/label boundary and are run on every change: no feature uses a transaction on or after its own cutoff date; labels derive only from the prediction window; train and validation subscriber IDs are disjoint; every feature column has either zero nulls or an explicitly documented reason for any it has. All four pass.</w:t>
      </w:r>
    </w:p>
    <w:p>
      <w:pPr>
        <w:pStyle w:val="Heading2"/>
        <w:keepNext/>
        <w:spacing w:after="90" w:before="170"/>
      </w:pPr>
      <w:r>
        <w:t xml:space="preserve">Three bugs, found and fixed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Real methodological problems surfaced during development and were corrected before any result was trusted — documented here because catching them is part of the actual work, not a footnote.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Cutoff-date-as-churn-proxy: an early design selected each subscriber's own last eligible transaction as their one labeled example, then split train/validation by that date. On real data this produced 69% churn in train vs. 7% in validation from the same population — the cutoff date itself was a stand-in for churn status, since a churned subscriber's history simply stops early. Fixed by evaluating every subscriber against a shared external reference date per split.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A missing feature, not a leak: a tuned LightGBM model showed near-perfect accuracy on an internal split of the training data but collapsed on real validation. The cause was a genuinely absent feature — the gap between a subscriber's last activity and the actual scoring date — which the model had been forced to reconstruct indirectly instead of being given directly. Adding it directly fixed the collapse.</w:t>
      </w:r>
    </w:p>
    <w:p>
      <w:pPr>
        <w:pStyle w:val="ListParagraph"/>
        <w:keepLines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A population bias disguised as a time split: guaranteeing no subscriber appeared in both train and validation by excluding “already-used” subscribers from validation silently restricted validation to only newer, shorter-tenured subscribers. This broke the LightGBM model so badly its accuracy fell below random chance. Fixed by randomly assigning subscribers to disjoint pools before any time-based logic runs, confirmed by matching tenure distributions across the corrected splits.</w:t>
      </w:r>
    </w:p>
    <w:p>
      <w:pPr>
        <w:pStyle w:val="Heading2"/>
        <w:keepNext/>
        <w:spacing w:after="90" w:before="170"/>
      </w:pPr>
      <w:r>
        <w:t xml:space="preserve">Feature engineering, model, and segmentation</w:t>
      </w:r>
    </w:p>
    <w:p>
      <w:pPr>
        <w:keepLines/>
        <w:spacing w:after="140" w:line="288"/>
        <w:jc w:val="left"/>
      </w:pPr>
      <w:r>
        <w:rPr>
          <w:rFonts w:ascii="Calibri" w:cs="Calibri" w:eastAsia="Calibri" w:hAnsi="Calibri"/>
          <w:color w:val="17151F"/>
          <w:sz w:val="22"/>
          <w:szCs w:val="22"/>
        </w:rPr>
        <w:t xml:space="preserve">Twenty features across recency (days since last transaction, days since the scoring reference date), frequency (transaction count, active days, longest gap, first-half vs. second-half trend), monetisation (total and average amount paid, most recent plan price), tenure (days since registration, registration channel), and trajectory — all built from data strictly before each subscriber's labeling cutoff. LightGBM (300 trees, learning rate 0.05, 31 leaves) is the deployed model; a hyperparameter-tuning pass did not beat this simple configuration on real out-of-time validation, so the simple configuration is production. SHAP (TreeExplainer) provides both global feature importance and the plain-language, per-subscriber explanations. K-Means (k=3, chosen via an elbow-plus-silhouette sweep across k=2..8) segments subscribers on behavioural features alone.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506B"/>
        <w:sz w:val="16"/>
        <w:szCs w:val="16"/>
      </w:rPr>
      <w:t xml:space="preserve">Subscriber Churn Risk × Value — Written Report   |   Page </w:t>
    </w:r>
    <w:r>
      <w:rPr>
        <w:rFonts w:ascii="Calibri" w:cs="Calibri" w:eastAsia="Calibri" w:hAnsi="Calibri"/>
        <w:color w:val="5550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06B"/>
        <w:spacing w:val="20"/>
        <w:sz w:val="14"/>
        <w:szCs w:val="14"/>
      </w:rPr>
      <w:t xml:space="preserve">RETENTION SIGNAL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5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mbria" w:cs="Cambria" w:eastAsia="Cambria" w:hAnsi="Cambria"/>
      <w:b/>
      <w:bCs/>
      <w:color w:val="392C8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mbria" w:cs="Cambria" w:eastAsia="Cambria" w:hAnsi="Cambria"/>
      <w:b/>
      <w:bCs/>
      <w:color w:val="1715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2026-09-08T18:05:34.252Z</dcterms:created>
  <dcterms:modified xsi:type="dcterms:W3CDTF">2026-09-08T18:05:34.253Z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