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pStyle w:val="Heading1"/>
        <w:spacing w:after="0" w:before="0" w:lineRule="auto"/>
        <w:rPr>
          <w:b w:val="1"/>
          <w:color w:val="ebdcb3"/>
          <w:sz w:val="28"/>
          <w:szCs w:val="28"/>
        </w:rPr>
      </w:pPr>
      <w:bookmarkStart w:colFirst="0" w:colLast="0" w:name="_heading=h.h2ou9hrk5e76" w:id="0"/>
      <w:bookmarkEnd w:id="0"/>
      <w:r w:rsidDel="00000000" w:rsidR="00000000" w:rsidRPr="00000000">
        <w:rPr>
          <w:rtl w:val="0"/>
        </w:rPr>
      </w:r>
    </w:p>
    <w:p w:rsidR="00000000" w:rsidDel="00000000" w:rsidP="00000000" w:rsidRDefault="00000000" w:rsidRPr="00000000" w14:paraId="00000002">
      <w:pPr>
        <w:pStyle w:val="Heading1"/>
        <w:spacing w:after="0" w:before="0" w:lineRule="auto"/>
        <w:rPr>
          <w:b w:val="1"/>
          <w:color w:val="ebdcb3"/>
          <w:sz w:val="28"/>
          <w:szCs w:val="28"/>
        </w:rPr>
      </w:pPr>
      <w:bookmarkStart w:colFirst="0" w:colLast="0" w:name="_heading=h.duwon8mbnu8k" w:id="1"/>
      <w:bookmarkEnd w:id="1"/>
      <w:r w:rsidDel="00000000" w:rsidR="00000000" w:rsidRPr="00000000">
        <w:rPr>
          <w:rtl w:val="0"/>
        </w:rPr>
      </w:r>
    </w:p>
    <w:p w:rsidR="00000000" w:rsidDel="00000000" w:rsidP="00000000" w:rsidRDefault="00000000" w:rsidRPr="00000000" w14:paraId="00000003">
      <w:pPr>
        <w:pStyle w:val="Heading1"/>
        <w:spacing w:after="0" w:before="0" w:lineRule="auto"/>
        <w:rPr>
          <w:b w:val="1"/>
          <w:color w:val="ebdcb3"/>
          <w:sz w:val="28"/>
          <w:szCs w:val="28"/>
        </w:rPr>
      </w:pPr>
      <w:bookmarkStart w:colFirst="0" w:colLast="0" w:name="_heading=h.4kufawhqwx4y" w:id="2"/>
      <w:bookmarkEnd w:id="2"/>
      <w:r w:rsidDel="00000000" w:rsidR="00000000" w:rsidRPr="00000000">
        <w:rPr>
          <w:rtl w:val="0"/>
        </w:rPr>
      </w:r>
    </w:p>
    <w:p w:rsidR="00000000" w:rsidDel="00000000" w:rsidP="00000000" w:rsidRDefault="00000000" w:rsidRPr="00000000" w14:paraId="00000004">
      <w:pPr>
        <w:pStyle w:val="Heading1"/>
        <w:spacing w:after="0" w:before="0" w:lineRule="auto"/>
        <w:rPr>
          <w:b w:val="1"/>
          <w:color w:val="ebdcb3"/>
          <w:sz w:val="28"/>
          <w:szCs w:val="28"/>
        </w:rPr>
      </w:pPr>
      <w:bookmarkStart w:colFirst="0" w:colLast="0" w:name="_heading=h.b7j8yc277c0e" w:id="3"/>
      <w:bookmarkEnd w:id="3"/>
      <w:r w:rsidDel="00000000" w:rsidR="00000000" w:rsidRPr="00000000">
        <w:rPr>
          <w:rtl w:val="0"/>
        </w:rPr>
      </w:r>
    </w:p>
    <w:p w:rsidR="00000000" w:rsidDel="00000000" w:rsidP="00000000" w:rsidRDefault="00000000" w:rsidRPr="00000000" w14:paraId="00000005">
      <w:pPr>
        <w:pStyle w:val="Heading1"/>
        <w:spacing w:after="0" w:before="0" w:lineRule="auto"/>
        <w:rPr>
          <w:b w:val="1"/>
          <w:color w:val="ebdcb3"/>
        </w:rPr>
      </w:pPr>
      <w:bookmarkStart w:colFirst="0" w:colLast="0" w:name="_heading=h.gjdgxs" w:id="4"/>
      <w:bookmarkEnd w:id="4"/>
      <w:r w:rsidDel="00000000" w:rsidR="00000000" w:rsidRPr="00000000">
        <w:rPr>
          <w:b w:val="1"/>
          <w:color w:val="ebdcb3"/>
          <w:rtl w:val="0"/>
        </w:rPr>
        <w:t xml:space="preserve">Datenschutz-Grundverordnung [DSGVO]</w:t>
      </w:r>
      <w:sdt>
        <w:sdtPr>
          <w:id w:val="-1748700922"/>
          <w:tag w:val="goog_rdk_0"/>
        </w:sdtPr>
        <w:sdtContent>
          <w:r w:rsidDel="00000000" w:rsidR="00000000" w:rsidRPr="00000000">
            <w:rPr>
              <w:rFonts w:ascii="Arial Unicode MS" w:cs="Arial Unicode MS" w:eastAsia="Arial Unicode MS" w:hAnsi="Arial Unicode MS"/>
              <w:b w:val="1"/>
              <w:color w:val="ebdcb3"/>
              <w:rtl w:val="0"/>
            </w:rPr>
            <w:t xml:space="preserve">　</w:t>
          </w:r>
        </w:sdtContent>
      </w:sdt>
      <w:r w:rsidDel="00000000" w:rsidR="00000000" w:rsidRPr="00000000">
        <w:rPr>
          <w:rtl w:val="0"/>
        </w:rPr>
      </w:r>
    </w:p>
    <w:p w:rsidR="00000000" w:rsidDel="00000000" w:rsidP="00000000" w:rsidRDefault="00000000" w:rsidRPr="00000000" w14:paraId="00000006">
      <w:pPr>
        <w:rPr>
          <w:b w:val="1"/>
          <w:color w:val="ebdcb3"/>
        </w:rPr>
      </w:pPr>
      <w:r w:rsidDel="00000000" w:rsidR="00000000" w:rsidRPr="00000000">
        <w:rPr>
          <w:rtl w:val="0"/>
        </w:rPr>
      </w:r>
    </w:p>
    <w:p w:rsidR="00000000" w:rsidDel="00000000" w:rsidP="00000000" w:rsidRDefault="00000000" w:rsidRPr="00000000" w14:paraId="00000007">
      <w:pPr>
        <w:pStyle w:val="Heading1"/>
        <w:rPr>
          <w:b w:val="1"/>
          <w:color w:val="ebdcb3"/>
        </w:rPr>
      </w:pPr>
      <w:bookmarkStart w:colFirst="0" w:colLast="0" w:name="_heading=h.ow3z4qb5ae91" w:id="5"/>
      <w:bookmarkEnd w:id="5"/>
      <w:r w:rsidDel="00000000" w:rsidR="00000000" w:rsidRPr="00000000">
        <w:rPr>
          <w:b w:val="1"/>
          <w:color w:val="ebdcb3"/>
          <w:rtl w:val="0"/>
        </w:rPr>
        <w:t xml:space="preserve">§1 Aufhebung des Datenschutzes</w:t>
      </w:r>
    </w:p>
    <w:p w:rsidR="00000000" w:rsidDel="00000000" w:rsidP="00000000" w:rsidRDefault="00000000" w:rsidRPr="00000000" w14:paraId="00000008">
      <w:pPr>
        <w:pStyle w:val="Heading2"/>
        <w:spacing w:after="0" w:before="0" w:line="240" w:lineRule="auto"/>
        <w:rPr>
          <w:b w:val="1"/>
          <w:color w:val="ebdcb3"/>
          <w:sz w:val="24"/>
          <w:szCs w:val="24"/>
        </w:rPr>
      </w:pPr>
      <w:bookmarkStart w:colFirst="0" w:colLast="0" w:name="_heading=h.4i7ojhp" w:id="6"/>
      <w:bookmarkEnd w:id="6"/>
      <w:r w:rsidDel="00000000" w:rsidR="00000000" w:rsidRPr="00000000">
        <w:rPr>
          <w:b w:val="1"/>
          <w:color w:val="ebdcb3"/>
          <w:sz w:val="24"/>
          <w:szCs w:val="24"/>
          <w:rtl w:val="0"/>
        </w:rPr>
        <w:t xml:space="preserve">(1) Der Datenschutz und das Recht auf Privatsphäre nach der DSGVO kann durch den zuständigen Richter aufgehoben werden, erfahrenes darf aber auch nur in dem zugehörigen Gerichtsprozess genutzt und nicht nach außen getragen werden. Ausnahme hierfür ist:</w:t>
      </w:r>
    </w:p>
    <w:p w:rsidR="00000000" w:rsidDel="00000000" w:rsidP="00000000" w:rsidRDefault="00000000" w:rsidRPr="00000000" w14:paraId="00000009">
      <w:pPr>
        <w:numPr>
          <w:ilvl w:val="0"/>
          <w:numId w:val="1"/>
        </w:numPr>
        <w:ind w:left="720" w:hanging="360"/>
        <w:rPr>
          <w:b w:val="1"/>
          <w:color w:val="ebdcb3"/>
          <w:sz w:val="24"/>
          <w:szCs w:val="24"/>
        </w:rPr>
      </w:pPr>
      <w:r w:rsidDel="00000000" w:rsidR="00000000" w:rsidRPr="00000000">
        <w:rPr>
          <w:b w:val="1"/>
          <w:color w:val="ebdcb3"/>
          <w:sz w:val="24"/>
          <w:szCs w:val="24"/>
          <w:rtl w:val="0"/>
        </w:rPr>
        <w:t xml:space="preserve">Sollte einer Berufsgruppe (= Firmen und staatliche Institutionen), einer Person, oder einer Gruppe ein Geheimnis, eine Aufnahme oder anderweitige Datenschutzrelevante Mittel anvertraut werden, welche zu einer Straftat führen können bzw. führten, so haben diese das Recht, dies der Exekutive oder der Judikative mitzuteilen und sind somit vom Datenschutzgesetz freigestellt, ohne eine Strafe zu befürchten.</w:t>
      </w:r>
    </w:p>
    <w:p w:rsidR="00000000" w:rsidDel="00000000" w:rsidP="00000000" w:rsidRDefault="00000000" w:rsidRPr="00000000" w14:paraId="0000000A">
      <w:pPr>
        <w:rPr>
          <w:b w:val="1"/>
          <w:color w:val="ebdcb3"/>
        </w:rPr>
      </w:pPr>
      <w:r w:rsidDel="00000000" w:rsidR="00000000" w:rsidRPr="00000000">
        <w:rPr>
          <w:rtl w:val="0"/>
        </w:rPr>
      </w:r>
    </w:p>
    <w:p w:rsidR="00000000" w:rsidDel="00000000" w:rsidP="00000000" w:rsidRDefault="00000000" w:rsidRPr="00000000" w14:paraId="0000000B">
      <w:pPr>
        <w:pStyle w:val="Heading1"/>
        <w:rPr>
          <w:b w:val="1"/>
          <w:color w:val="ebdcb3"/>
        </w:rPr>
      </w:pPr>
      <w:bookmarkStart w:colFirst="0" w:colLast="0" w:name="_heading=h.x42kenmu6df4" w:id="7"/>
      <w:bookmarkEnd w:id="7"/>
      <w:r w:rsidDel="00000000" w:rsidR="00000000" w:rsidRPr="00000000">
        <w:rPr>
          <w:b w:val="1"/>
          <w:color w:val="ebdcb3"/>
          <w:rtl w:val="0"/>
        </w:rPr>
        <w:t xml:space="preserve">§2 Verschwiegenheit über die Interna</w:t>
      </w:r>
    </w:p>
    <w:p w:rsidR="00000000" w:rsidDel="00000000" w:rsidP="00000000" w:rsidRDefault="00000000" w:rsidRPr="00000000" w14:paraId="0000000C">
      <w:pPr>
        <w:rPr>
          <w:b w:val="1"/>
          <w:color w:val="ebdcb3"/>
          <w:sz w:val="24"/>
          <w:szCs w:val="24"/>
        </w:rPr>
      </w:pPr>
      <w:r w:rsidDel="00000000" w:rsidR="00000000" w:rsidRPr="00000000">
        <w:rPr>
          <w:b w:val="1"/>
          <w:color w:val="ebdcb3"/>
          <w:sz w:val="24"/>
          <w:szCs w:val="24"/>
          <w:rtl w:val="0"/>
        </w:rPr>
        <w:t xml:space="preserve">(1) Jeder Mitarbeiter eines Unternehmen oder einer staatlichen Institution ist verpflichtet, Verschwiegenheit über die Interna und die Arbeit zu wahren.</w:t>
      </w:r>
    </w:p>
    <w:p w:rsidR="00000000" w:rsidDel="00000000" w:rsidP="00000000" w:rsidRDefault="00000000" w:rsidRPr="00000000" w14:paraId="0000000D">
      <w:pPr>
        <w:rPr>
          <w:b w:val="1"/>
          <w:color w:val="ebdcb3"/>
        </w:rPr>
      </w:pPr>
      <w:r w:rsidDel="00000000" w:rsidR="00000000" w:rsidRPr="00000000">
        <w:rPr>
          <w:rtl w:val="0"/>
        </w:rPr>
      </w:r>
    </w:p>
    <w:p w:rsidR="00000000" w:rsidDel="00000000" w:rsidP="00000000" w:rsidRDefault="00000000" w:rsidRPr="00000000" w14:paraId="0000000E">
      <w:pPr>
        <w:pStyle w:val="Heading1"/>
        <w:rPr>
          <w:b w:val="1"/>
          <w:color w:val="ebdcb3"/>
        </w:rPr>
      </w:pPr>
      <w:bookmarkStart w:colFirst="0" w:colLast="0" w:name="_heading=h.9jxo8cvcu2aw" w:id="8"/>
      <w:bookmarkEnd w:id="8"/>
      <w:r w:rsidDel="00000000" w:rsidR="00000000" w:rsidRPr="00000000">
        <w:rPr>
          <w:b w:val="1"/>
          <w:color w:val="ebdcb3"/>
          <w:rtl w:val="0"/>
        </w:rPr>
        <w:t xml:space="preserve">§3 Recht am geistigen Eigentum</w:t>
      </w:r>
    </w:p>
    <w:p w:rsidR="00000000" w:rsidDel="00000000" w:rsidP="00000000" w:rsidRDefault="00000000" w:rsidRPr="00000000" w14:paraId="0000000F">
      <w:pPr>
        <w:rPr>
          <w:b w:val="1"/>
          <w:color w:val="ebdcb3"/>
          <w:sz w:val="24"/>
          <w:szCs w:val="24"/>
        </w:rPr>
      </w:pPr>
      <w:r w:rsidDel="00000000" w:rsidR="00000000" w:rsidRPr="00000000">
        <w:rPr>
          <w:b w:val="1"/>
          <w:color w:val="ebdcb3"/>
          <w:sz w:val="24"/>
          <w:szCs w:val="24"/>
          <w:rtl w:val="0"/>
        </w:rPr>
        <w:t xml:space="preserve">(1) Es darf kein geistiges Eigentum von Anderen für den eigenen Zweck verwendet werden, außer man hat das Einverständnis des Urhebers.</w:t>
      </w:r>
    </w:p>
    <w:p w:rsidR="00000000" w:rsidDel="00000000" w:rsidP="00000000" w:rsidRDefault="00000000" w:rsidRPr="00000000" w14:paraId="00000010">
      <w:pPr>
        <w:rPr>
          <w:b w:val="1"/>
          <w:color w:val="ebdcb3"/>
          <w:sz w:val="24"/>
          <w:szCs w:val="24"/>
        </w:rPr>
      </w:pPr>
      <w:r w:rsidDel="00000000" w:rsidR="00000000" w:rsidRPr="00000000">
        <w:rPr>
          <w:b w:val="1"/>
          <w:color w:val="ebdcb3"/>
          <w:sz w:val="24"/>
          <w:szCs w:val="24"/>
          <w:rtl w:val="0"/>
        </w:rPr>
        <w:t xml:space="preserve">(2) Es darf kein geistiges Eigentum von anderen als das Eigene deklariert werden. Das Verwenden von geschütztem Material darf nur zitiert und mit Quelle verwendet werden.</w:t>
      </w:r>
    </w:p>
    <w:p w:rsidR="00000000" w:rsidDel="00000000" w:rsidP="00000000" w:rsidRDefault="00000000" w:rsidRPr="00000000" w14:paraId="00000011">
      <w:pPr>
        <w:rPr>
          <w:b w:val="1"/>
          <w:color w:val="ebdcb3"/>
        </w:rPr>
      </w:pPr>
      <w:r w:rsidDel="00000000" w:rsidR="00000000" w:rsidRPr="00000000">
        <w:rPr>
          <w:rtl w:val="0"/>
        </w:rPr>
      </w:r>
    </w:p>
    <w:p w:rsidR="00000000" w:rsidDel="00000000" w:rsidP="00000000" w:rsidRDefault="00000000" w:rsidRPr="00000000" w14:paraId="00000012">
      <w:pPr>
        <w:pStyle w:val="Heading1"/>
        <w:rPr>
          <w:b w:val="1"/>
          <w:color w:val="ebdcb3"/>
        </w:rPr>
      </w:pPr>
      <w:bookmarkStart w:colFirst="0" w:colLast="0" w:name="_heading=h.nc3gc4sjjey" w:id="9"/>
      <w:bookmarkEnd w:id="9"/>
      <w:r w:rsidDel="00000000" w:rsidR="00000000" w:rsidRPr="00000000">
        <w:rPr>
          <w:b w:val="1"/>
          <w:color w:val="ebdcb3"/>
          <w:rtl w:val="0"/>
        </w:rPr>
        <w:t xml:space="preserve">§4 Aufnahmen</w:t>
      </w:r>
    </w:p>
    <w:p w:rsidR="00000000" w:rsidDel="00000000" w:rsidP="00000000" w:rsidRDefault="00000000" w:rsidRPr="00000000" w14:paraId="00000013">
      <w:pPr>
        <w:rPr>
          <w:b w:val="1"/>
          <w:color w:val="ebdcb3"/>
          <w:sz w:val="24"/>
          <w:szCs w:val="24"/>
        </w:rPr>
      </w:pPr>
      <w:r w:rsidDel="00000000" w:rsidR="00000000" w:rsidRPr="00000000">
        <w:rPr>
          <w:b w:val="1"/>
          <w:color w:val="ebdcb3"/>
          <w:sz w:val="24"/>
          <w:szCs w:val="24"/>
          <w:rtl w:val="0"/>
        </w:rPr>
        <w:t xml:space="preserve">(1) Es dürfen keine Aufnahmen, in jeglicher Form, von anderen Personen ohne Einwilligung verwendet werden. Sie dürfen aber erstellt werden im Sinne des Eigenschutzes.</w:t>
      </w:r>
    </w:p>
    <w:p w:rsidR="00000000" w:rsidDel="00000000" w:rsidP="00000000" w:rsidRDefault="00000000" w:rsidRPr="00000000" w14:paraId="00000014">
      <w:pPr>
        <w:rPr>
          <w:b w:val="1"/>
          <w:color w:val="ebdcb3"/>
          <w:sz w:val="24"/>
          <w:szCs w:val="24"/>
        </w:rPr>
      </w:pPr>
      <w:r w:rsidDel="00000000" w:rsidR="00000000" w:rsidRPr="00000000">
        <w:rPr>
          <w:b w:val="1"/>
          <w:color w:val="ebdcb3"/>
          <w:sz w:val="24"/>
          <w:szCs w:val="24"/>
          <w:rtl w:val="0"/>
        </w:rPr>
        <w:t xml:space="preserve">(2) Staatliche Organe sind berechtigt, Aufnahmen zu Ermittlungszwecken ohne Einwilligung der Person zu erstellen und zu verwenden. Diese Aufnahmen dürfen allerdings nicht an Dritte weitergegeben werden.</w:t>
      </w:r>
    </w:p>
    <w:p w:rsidR="00000000" w:rsidDel="00000000" w:rsidP="00000000" w:rsidRDefault="00000000" w:rsidRPr="00000000" w14:paraId="00000015">
      <w:pPr>
        <w:rPr>
          <w:b w:val="1"/>
          <w:color w:val="ebdcb3"/>
          <w:sz w:val="24"/>
          <w:szCs w:val="24"/>
        </w:rPr>
      </w:pPr>
      <w:r w:rsidDel="00000000" w:rsidR="00000000" w:rsidRPr="00000000">
        <w:rPr>
          <w:b w:val="1"/>
          <w:color w:val="ebdcb3"/>
          <w:sz w:val="24"/>
          <w:szCs w:val="24"/>
          <w:rtl w:val="0"/>
        </w:rPr>
        <w:t xml:space="preserve">(3) Es dürfen keine stationären Aufnahmen an Orten gemacht werden, in denen man kein Hausrecht oder keine Genehmigung hat.</w:t>
      </w:r>
    </w:p>
    <w:p w:rsidR="00000000" w:rsidDel="00000000" w:rsidP="00000000" w:rsidRDefault="00000000" w:rsidRPr="00000000" w14:paraId="00000016">
      <w:pPr>
        <w:rPr>
          <w:b w:val="1"/>
          <w:color w:val="ebdcb3"/>
        </w:rPr>
      </w:pPr>
      <w:r w:rsidDel="00000000" w:rsidR="00000000" w:rsidRPr="00000000">
        <w:rPr>
          <w:rtl w:val="0"/>
        </w:rPr>
      </w:r>
    </w:p>
    <w:p w:rsidR="00000000" w:rsidDel="00000000" w:rsidP="00000000" w:rsidRDefault="00000000" w:rsidRPr="00000000" w14:paraId="00000017">
      <w:pPr>
        <w:pStyle w:val="Heading1"/>
        <w:rPr>
          <w:b w:val="1"/>
          <w:color w:val="ebdcb3"/>
        </w:rPr>
      </w:pPr>
      <w:bookmarkStart w:colFirst="0" w:colLast="0" w:name="_heading=h.8e93qy46ogrn" w:id="10"/>
      <w:bookmarkEnd w:id="10"/>
      <w:r w:rsidDel="00000000" w:rsidR="00000000" w:rsidRPr="00000000">
        <w:rPr>
          <w:rtl w:val="0"/>
        </w:rPr>
      </w:r>
    </w:p>
    <w:p w:rsidR="00000000" w:rsidDel="00000000" w:rsidP="00000000" w:rsidRDefault="00000000" w:rsidRPr="00000000" w14:paraId="00000018">
      <w:pPr>
        <w:pStyle w:val="Heading1"/>
        <w:rPr>
          <w:b w:val="1"/>
          <w:color w:val="ebdcb3"/>
        </w:rPr>
      </w:pPr>
      <w:bookmarkStart w:colFirst="0" w:colLast="0" w:name="_heading=h.6ccglxnk36ib" w:id="11"/>
      <w:bookmarkEnd w:id="11"/>
      <w:r w:rsidDel="00000000" w:rsidR="00000000" w:rsidRPr="00000000">
        <w:rPr>
          <w:rtl w:val="0"/>
        </w:rPr>
      </w:r>
    </w:p>
    <w:p w:rsidR="00000000" w:rsidDel="00000000" w:rsidP="00000000" w:rsidRDefault="00000000" w:rsidRPr="00000000" w14:paraId="00000019">
      <w:pPr>
        <w:pStyle w:val="Heading1"/>
        <w:rPr>
          <w:b w:val="1"/>
          <w:color w:val="ebdcb3"/>
        </w:rPr>
      </w:pPr>
      <w:bookmarkStart w:colFirst="0" w:colLast="0" w:name="_heading=h.qsovygg5gjcc" w:id="12"/>
      <w:bookmarkEnd w:id="12"/>
      <w:r w:rsidDel="00000000" w:rsidR="00000000" w:rsidRPr="00000000">
        <w:rPr>
          <w:b w:val="1"/>
          <w:color w:val="ebdcb3"/>
          <w:rtl w:val="0"/>
        </w:rPr>
        <w:t xml:space="preserve">§5 Geheimhaltungsgesetz</w:t>
      </w:r>
    </w:p>
    <w:p w:rsidR="00000000" w:rsidDel="00000000" w:rsidP="00000000" w:rsidRDefault="00000000" w:rsidRPr="00000000" w14:paraId="0000001A">
      <w:pPr>
        <w:rPr>
          <w:b w:val="1"/>
          <w:color w:val="ebdcb3"/>
          <w:sz w:val="24"/>
          <w:szCs w:val="24"/>
        </w:rPr>
      </w:pPr>
      <w:r w:rsidDel="00000000" w:rsidR="00000000" w:rsidRPr="00000000">
        <w:rPr>
          <w:b w:val="1"/>
          <w:color w:val="ebdcb3"/>
          <w:sz w:val="24"/>
          <w:szCs w:val="24"/>
          <w:rtl w:val="0"/>
        </w:rPr>
        <w:t xml:space="preserve">(1) Wer ein fremdes Geheimnis, wie Betriebs- oder Geschäftsgeheimnis oder zum persönlichen Lebensbereich gehörendes Geheimnis, offenbart, das ihm als Amtsträger, der Exekutive, der Judikative, der Legislative oder </w:t>
      </w:r>
      <w:r w:rsidDel="00000000" w:rsidR="00000000" w:rsidRPr="00000000">
        <w:rPr>
          <w:b w:val="1"/>
          <w:color w:val="ebdcb3"/>
          <w:sz w:val="24"/>
          <w:szCs w:val="24"/>
          <w:rtl w:val="0"/>
        </w:rPr>
        <w:t xml:space="preserve">Mediziner</w:t>
      </w:r>
      <w:r w:rsidDel="00000000" w:rsidR="00000000" w:rsidRPr="00000000">
        <w:rPr>
          <w:b w:val="1"/>
          <w:color w:val="ebdcb3"/>
          <w:sz w:val="24"/>
          <w:szCs w:val="24"/>
          <w:rtl w:val="0"/>
        </w:rPr>
        <w:t xml:space="preserve"> anvertraut worden oder sonst bekannt geworden ist. </w:t>
      </w:r>
    </w:p>
    <w:p w:rsidR="00000000" w:rsidDel="00000000" w:rsidP="00000000" w:rsidRDefault="00000000" w:rsidRPr="00000000" w14:paraId="0000001B">
      <w:pPr>
        <w:rPr>
          <w:b w:val="1"/>
          <w:color w:val="ebdcb3"/>
          <w:sz w:val="24"/>
          <w:szCs w:val="24"/>
        </w:rPr>
      </w:pPr>
      <w:r w:rsidDel="00000000" w:rsidR="00000000" w:rsidRPr="00000000">
        <w:rPr>
          <w:b w:val="1"/>
          <w:color w:val="ebdcb3"/>
          <w:sz w:val="24"/>
          <w:szCs w:val="24"/>
          <w:rtl w:val="0"/>
        </w:rPr>
        <w:t xml:space="preserve">(2) Gehilfen oder Praktikanten, der zuvor genannten Berufsgruppen, unterliegen zu jeder Zeit den Geheimnis Vorschriften.</w:t>
      </w:r>
    </w:p>
    <w:p w:rsidR="00000000" w:rsidDel="00000000" w:rsidP="00000000" w:rsidRDefault="00000000" w:rsidRPr="00000000" w14:paraId="0000001C">
      <w:pPr>
        <w:rPr>
          <w:b w:val="1"/>
          <w:color w:val="ebdcb3"/>
        </w:rPr>
      </w:pPr>
      <w:r w:rsidDel="00000000" w:rsidR="00000000" w:rsidRPr="00000000">
        <w:rPr>
          <w:rtl w:val="0"/>
        </w:rPr>
      </w:r>
    </w:p>
    <w:p w:rsidR="00000000" w:rsidDel="00000000" w:rsidP="00000000" w:rsidRDefault="00000000" w:rsidRPr="00000000" w14:paraId="0000001D">
      <w:pPr>
        <w:pStyle w:val="Heading1"/>
        <w:rPr>
          <w:b w:val="1"/>
          <w:color w:val="ebdcb3"/>
        </w:rPr>
      </w:pPr>
      <w:bookmarkStart w:colFirst="0" w:colLast="0" w:name="_heading=h.ekq6vrysowck" w:id="13"/>
      <w:bookmarkEnd w:id="13"/>
      <w:r w:rsidDel="00000000" w:rsidR="00000000" w:rsidRPr="00000000">
        <w:rPr>
          <w:rtl w:val="0"/>
        </w:rPr>
      </w:r>
    </w:p>
    <w:p w:rsidR="00000000" w:rsidDel="00000000" w:rsidP="00000000" w:rsidRDefault="00000000" w:rsidRPr="00000000" w14:paraId="0000001E">
      <w:pPr>
        <w:pStyle w:val="Heading1"/>
        <w:rPr>
          <w:b w:val="1"/>
          <w:color w:val="ebdcb3"/>
        </w:rPr>
      </w:pPr>
      <w:bookmarkStart w:colFirst="0" w:colLast="0" w:name="_heading=h.3whwml4" w:id="14"/>
      <w:bookmarkEnd w:id="14"/>
      <w:r w:rsidDel="00000000" w:rsidR="00000000" w:rsidRPr="00000000">
        <w:rPr>
          <w:b w:val="1"/>
          <w:color w:val="ebdcb3"/>
          <w:rtl w:val="0"/>
        </w:rPr>
        <w:t xml:space="preserve">§6 Weitergabe von Dokumenten während einer Rechtssache</w:t>
      </w:r>
    </w:p>
    <w:p w:rsidR="00000000" w:rsidDel="00000000" w:rsidP="00000000" w:rsidRDefault="00000000" w:rsidRPr="00000000" w14:paraId="0000001F">
      <w:pPr>
        <w:rPr>
          <w:b w:val="1"/>
          <w:color w:val="ebdcb3"/>
          <w:sz w:val="24"/>
          <w:szCs w:val="24"/>
        </w:rPr>
      </w:pPr>
      <w:r w:rsidDel="00000000" w:rsidR="00000000" w:rsidRPr="00000000">
        <w:rPr>
          <w:b w:val="1"/>
          <w:color w:val="ebdcb3"/>
          <w:sz w:val="24"/>
          <w:szCs w:val="24"/>
          <w:rtl w:val="0"/>
        </w:rPr>
        <w:t xml:space="preserve">(1) Während einer laufenden Rechtssache ist es den beteiligten Parteien und allen anderen involvierten Personen ausgenommen des Gerichts untersagt, ohne ausdrückliche Zustimmung des Gerichts, Dokumente im Zusammenhang mit der Rechtssache an Dritte weiterzugeben. Diese Dokumente umfassen schriftliche, elektronische oder sonstige Unterlagen oder Aufnahmen, die als Beweismittel oder zur Unterstützung der Argumentation dienen.</w:t>
      </w:r>
    </w:p>
    <w:p w:rsidR="00000000" w:rsidDel="00000000" w:rsidP="00000000" w:rsidRDefault="00000000" w:rsidRPr="00000000" w14:paraId="00000020">
      <w:pPr>
        <w:rPr>
          <w:b w:val="1"/>
          <w:color w:val="ebdcb3"/>
          <w:sz w:val="24"/>
          <w:szCs w:val="24"/>
        </w:rPr>
      </w:pPr>
      <w:r w:rsidDel="00000000" w:rsidR="00000000" w:rsidRPr="00000000">
        <w:rPr>
          <w:b w:val="1"/>
          <w:color w:val="ebdcb3"/>
          <w:sz w:val="24"/>
          <w:szCs w:val="24"/>
          <w:rtl w:val="0"/>
        </w:rPr>
        <w:t xml:space="preserve">(2) Bei Verstoß gegen das Verbot gemäß Absatz 1 kann das Gericht geeignete Maßnahmen ergreifen, um die ordnungsgemäße Verfahrensführung sicherzustellen. Dies obliegt dem zuständigen Richter.</w:t>
      </w:r>
    </w:p>
    <w:p w:rsidR="00000000" w:rsidDel="00000000" w:rsidP="00000000" w:rsidRDefault="00000000" w:rsidRPr="00000000" w14:paraId="00000021">
      <w:pPr>
        <w:spacing w:line="240" w:lineRule="auto"/>
        <w:rPr>
          <w:b w:val="1"/>
          <w:color w:val="ebdcb3"/>
          <w:sz w:val="36"/>
          <w:szCs w:val="36"/>
        </w:rPr>
      </w:pPr>
      <w:r w:rsidDel="00000000" w:rsidR="00000000" w:rsidRPr="00000000">
        <w:rPr>
          <w:rtl w:val="0"/>
        </w:rPr>
      </w:r>
    </w:p>
    <w:p w:rsidR="00000000" w:rsidDel="00000000" w:rsidP="00000000" w:rsidRDefault="00000000" w:rsidRPr="00000000" w14:paraId="00000022">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23">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24">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25">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26">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27">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28">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29">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2A">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2B">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2C">
      <w:pPr>
        <w:widowControl w:val="0"/>
        <w:spacing w:line="240" w:lineRule="auto"/>
        <w:ind w:right="313.499755859375"/>
        <w:jc w:val="center"/>
        <w:rPr>
          <w:color w:val="ebdcb3"/>
          <w:sz w:val="20"/>
          <w:szCs w:val="20"/>
        </w:rPr>
      </w:pPr>
      <w:r w:rsidDel="00000000" w:rsidR="00000000" w:rsidRPr="00000000">
        <w:rPr>
          <w:i w:val="1"/>
          <w:color w:val="ebdcb3"/>
          <w:sz w:val="20"/>
          <w:szCs w:val="20"/>
          <w:rtl w:val="0"/>
        </w:rPr>
        <w:t xml:space="preserve">Sollte ein Paragraph rechtliche Fehler aufweisen, so ist dieser so lange außer Kraft gesetzt, bis dieser von der Regierung neu verabschiedet wurde. </w:t>
      </w:r>
      <w:r w:rsidDel="00000000" w:rsidR="00000000" w:rsidRPr="00000000">
        <w:rPr>
          <w:rtl w:val="0"/>
        </w:rPr>
      </w:r>
    </w:p>
    <w:p w:rsidR="00000000" w:rsidDel="00000000" w:rsidP="00000000" w:rsidRDefault="00000000" w:rsidRPr="00000000" w14:paraId="0000002D">
      <w:pPr>
        <w:spacing w:line="240" w:lineRule="auto"/>
        <w:jc w:val="center"/>
        <w:rPr>
          <w:i w:val="1"/>
          <w:color w:val="ebdcb3"/>
          <w:sz w:val="24"/>
          <w:szCs w:val="24"/>
        </w:rPr>
      </w:pPr>
      <w:r w:rsidDel="00000000" w:rsidR="00000000" w:rsidRPr="00000000">
        <w:rPr>
          <w:i w:val="1"/>
          <w:color w:val="ebdcb3"/>
          <w:sz w:val="20"/>
          <w:szCs w:val="20"/>
          <w:rtl w:val="0"/>
        </w:rPr>
        <w:t xml:space="preserve">Dieses Gesetz wurde im Goverment über eine Mehrheitsabstimmung verabschiedet und ist somit gültig.</w:t>
      </w:r>
      <w:r w:rsidDel="00000000" w:rsidR="00000000" w:rsidRPr="00000000">
        <w:rPr>
          <w:rtl w:val="0"/>
        </w:rPr>
      </w:r>
    </w:p>
    <w:p w:rsidR="00000000" w:rsidDel="00000000" w:rsidP="00000000" w:rsidRDefault="00000000" w:rsidRPr="00000000" w14:paraId="0000002E">
      <w:pPr>
        <w:widowControl w:val="0"/>
        <w:spacing w:line="240" w:lineRule="auto"/>
        <w:ind w:right="313.499755859375"/>
        <w:rPr>
          <w:b w:val="1"/>
          <w:color w:val="ebdcb3"/>
          <w:sz w:val="24"/>
          <w:szCs w:val="24"/>
        </w:rPr>
      </w:pPr>
      <w:r w:rsidDel="00000000" w:rsidR="00000000" w:rsidRPr="00000000">
        <w:rPr>
          <w:rtl w:val="0"/>
        </w:rPr>
      </w:r>
    </w:p>
    <w:sectPr>
      <w:headerReference r:id="rId7" w:type="default"/>
      <w:footerReference r:id="rId8" w:type="default"/>
      <w:pgSz w:h="16834" w:w="11909" w:orient="portrait"/>
      <w:pgMar w:bottom="0" w:top="0" w:left="850.3937007874016" w:right="850.3937007874016" w:header="0" w:footer="992.125984251968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pict>
        <v:shape id="WordPictureWatermark1" style="position:absolute;width:596.9763779527559pt;height:844.3795275590551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6N/TdpIXUTHgzl24+dUbcIPM4w==">CgMxLjAaHQoBMBIYChYIB0ISEhBBcmlhbCBVbmljb2RlIE1TMg5oLmgyb3U5aHJrNWU3NjIOaC5kdXdvbjhtYm51OGsyDmguNGt1ZmF3aHF3eDR5Mg5oLmI3ajh5YzI3N2MwZTIIaC5namRneHMyDmgub3czejRxYjVhZTkxMgloLjRpN29qaHAyDmgueDQya2VubXU2ZGY0Mg5oLjlqeG84Y3ZjdTJhdzINaC5uYzNnYzRzampleTIOaC44ZTkzcXk0Nm9ncm4yDmguNmNjZ2x4bmszNmliMg5oLnFzb3Z5Z2c1Z2pjYzIOaC5la3E2dnJ5c293Y2syCWguM3dod21sNDgAciExaVNNcXNXZkpxVUM4Y2h5UDFpbzZGWEU1TExET1FLQ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