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UX, Technical, and Workflow Architecture Audit: Einherjar Endeavor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Site Intent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inspection of the live deployment at the provided repository endpoint yielded a null response during the technical extraction phase, indicating that the live site is currently inaccessible, restricted, or experiencing deployment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absence of live DOM rendering, CSS Object Model execution, and JavaScript console availability fundamentally restricts the ability to perform a direct element-by-element critique. However, in accordance with the mandate to conduct a senior-level critical review, and adhering to the explicit instruction to incorporate reasonable inferred standards when critical data is missing, this evaluation constructs a rigorous, zero-tolerance architectural and conceptual audit. This predictive audit is engineered around the explicit constraints provided: a vanilla frontend (HTML, CSS, JS) mission-driven interface designed for high-trust research intake and downstream multi-agent dossier compilation, aligned with the stringent technical rubrics of the Next Chapter apprenticeship program.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nomenclature "Einherjar Endeavor"—referencing the elite, fallen warriors of Norse mythology who are brought to Valhalla to prepare for the ultimate battle—projects a highly specific and potent semantic weight. It strongly implies a mission-driven, highly focused, and potentially veteran-oriented, elite, or rigorous research initiative. The primary purpose of the platform is twofold and inherently paradoxical. First, it must serve as a persuasive, legitimate public-facing entity that builds immediate trust and emotional resonance with visitors. Second, it must operate as a sophisticated, unyielding data-intake engine capable of structuring complex information for downstream dossier preparation and multi-agent algorithmic processing. The architecture must simultaneously embrace the empathy required of a mission-driven organization and the clinical precision required of a data-ingestion pipeline.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likely target users comprise a spectrum of individuals: subject matter experts, potential research candidates, program stakeholders, and institutional evaluators. These users require a frictionless, secure, and highly professional digital experience. They are likely evaluating the platform's legitimacy within seconds of arrival, meaning the implied brand personality must project authority, resilience, meticulous organization, and unwavering data security.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visual vernacular must reflect absolute competence. Any deviation into amateurish aesthetics, performative mythological clichés, or convoluted navigation will instantly degrade the perceived safety of the environment, causing high-value target users to abandon the portal before initiating the intake process.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user flows must systematically transition a visitor from an initial state of passive inquiry to a state of committed, active data provision. This journey involves landing on a compelling, instantly comprehensible mission statement, navigating a clear value proposition, and entering a multi-phase intake sequence. The intended role of the forms and submissions is not mere contact generation or lead capture. Rather, the forms act as the critical ingestion nodes for a structured research database. Every field must map directly to a predefined schema that a downstream language model or agentic workflow can parse without human intervention, data sanitization, or semantic guessing.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a project of this nature against a vanilla frontend craftsmanship rubric requires an uncompromising assessment of foundational web technologies. The Next Chapter program, an initiative founded at Slack in partnership with The Last Mile, the W.K. Kellogg Foundation, and FREEAMERICA, focuses on providing rigorous software engineering pathways for justice-involved individuals, transforming perceptions and building long-term careers in the tech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program's expectations for technical proficiency are exceptionally high. A portfolio project submitted under this rubric demands a demonstrably deep understanding of the core pillars of web development—HTML, CSS, and JavaScript—without the crutch of modern frameworks like React, Angular, or utility libraries like Tailwind.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baseline expectation for the site encompasses flawlessly semantic HTML5 structure, modern CSS layout practices utilizing native CSS Grid and Flexbox, and clean, modular JavaScript interaction design that manages state and Document Object Model (DOM) updates securely and efficiently.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Aesthetic distinctiveness and professionalism in a vanilla environment are notoriously difficult to achieve and maintain; they are frequently compromised by bloated, globally scoped CSS or inconsistent class naming conventions. The site must demonstrate a profound understanding of visual hierarchy, utilizing whitespace, typography, and contrast to guide the user naturally toward the intake forms.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Credibility and perceived trust are heavily reliant on the seamless execution of these elements; a single broken layout on a mobile viewport or a misaligned form label instantly degrades the perceived safety of the data collection process, signaling to the user that the organization lacks the technical competence to secure their sensitive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accessibility and responsiveness are not secondary concerns or post-launch enhancements; they are primary architectural requirements, necessitating strict adherence to Web Content Accessibility Guidelines (WCAG) to ensure the platform is usable by all individuals across all devices.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Research-Informed Benchmark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augment the evaluation of the conceptual architecture and provide actionable, senior-level directives, targeted domain insights must establish the parameters for what constitutes "excellent" within this highly specific intersection of mission-driven design, high-trust user experience, and vanilla frontend engineering. The standard is not merely "functional"; the standard is enterprise-grade resilience achieved through foundational browser technologies.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nonprofit or mission-driven web design operating in the current digital landscape, aesthetics must immediately communicate impact, transparency, and security.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Excellent design in this sector leverages minimalist layouts to reduce cognitive load, allowing the mission statement and the primary call-to-action to dominate the visual hierarchy.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Research dictates that over 75 percent of users judge an organization's credibility based entirely on its website's design.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use of authentic, high-quality imagery is heavily favored over generic stock photography to build immediate emotional resonance and empathy; human brains process visual information exponentially faster than text, and authentic visual storytelling directly correlates with increased engagement.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high-trust intake systems require highly visible, verifiable security signals. This includes transparent privacy policies placed directly adjacent to data collection points, explaining exactly why sensitive information is required, how it will be protected, and what the retention lifecycle entails.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intake forms demanding sensitive, comprehensive, or high-stakes data must adhere to strict user experience benchmarks to prevent widespread abandonment. The prevailing industry standard definitively dictates single-column layouts for form architecture. Research consistently demonstrates that single-column layouts improve form completion rates by over 15 percent compared to multi-column forms because they provide a clear, uninterrupted vertical scanning momentum, eliminating confusion regarding field relationships or completion order.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Labels must be placed prominently above fields rather than relying on internal placeholder text. Relying on placeholder text as the primary label creates severe accessibility and usability barriers; the label vanishes the moment the user begins typing, placing an unnecessary burden on short-term memory.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Progressive disclosure is a paramount architectural requirement for complex data collection. Lengthy forms must be chunked into logical, multi-step sequences with clear visual progress indicators.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leverages psychological commitment principles by asking the easiest, lowest-friction questions first (such as basic contact information) before progressing to high-commitment or highly sensitive research fields.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error validation must be humane, specific, and inline. Validating a form only upon the final submission attempt punishes the user. Best practices require validating after input (e.g., on the blur event) and providing error messages that explicitly state what went wrong and exactly how to fix it, avoiding vague system errors like "Invalid input".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platform serving as the foundation for iterative research and dossier preparation must output data in a highly structured, predictable format. Drawing parallels from the highly regulated pharmaceutical industry's Common Technical Document (CTD) format, a rigorous dossier submission process requires a strictly modular approach.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intake workflow must ruthlessly enforce data consistency, utilizing constrained input types such as dropdowns, radio buttons, and specific HTML5 date pickers rather than relying on open-ended text areas wherever possible.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architecture must ensure that the collected data is serialized into a clean JSON payload, completely decoupled from the user interface, enabling seamless ingestion by future automation, database architecture, or agentic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data requires manual sanitization before it can be processed by an algorithmic workflow, the frontend architecture has failed its primary directive.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Evaluators from rigorous tech apprenticeships like the Next Chapter program seek developers who possess a profound, unabstracted mastery of the underlying language of the web.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 excellent vanilla project avoids the "spaghetti code" trap often associated with framework-less development, proving that the developer can engineer scalable systems without relying on React's virtual DOM or Angular's dependency injection.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Expectation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Excellent Standard (Next Chapter Portfolio Ready)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HTML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Functional block-level elements, heavy reliance on &lt;div&gt; tags for layout.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Deeply semantic tags (&lt;article&gt;, &lt;aside&gt;, &lt;fieldset&gt;, &lt;legend&gt;), flawless ARIA roles for screen readers, absolute structural logic independent of visual styling.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CSS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Functional styling, basic media queries, monolithic stylesheets.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CSS Custom Properties (variables) scoped to the :root for comprehensive theming, precise CSS Grid for macro-layouts, Flexbox for micro-layouts, strict adherence to a methodology like BEM (Block Element Modifier) to prevent style leakage.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JavaScript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Procedural scripts, inline event handlers, manual DOM querying intermixed with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ES6+ modules, sophisticated event delegation, pure functions, distinct separation of state logic from DOM rendering, robust asynchronous error handling using try/catch and the Fetch API.</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Functional loading, unoptimized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Immersive experience without bloat. Optimization of Core Web Vitals (Largest Contentful Paint, First Input Delay, Cumulative Layout Shift). Intelligent lazy-loading of assets and asynchronous script execution.</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Distinctive, brand-forward web design that evades the "AI-generated" aesthetic requires intense intentionality in typography, micro-interactions, and spatial rhythm.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site built entirely with vanilla technologies that achieves a polished, modern look—without the telltale signs of Bootstrap classes or generic templates—demonstrates a high degree of technical craftsmanship and design maturity. Small details, such as focus states on form inputs, subtle hover transitions on buttons, and a mathematically sound typographic scale, separate amateur experiments from professional-grade enterprise platforms.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Audit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live interface is entirely inaccessible for direct DOM inspection, this deep critique must target the most common, damaging, and statistically probable failures inherent in this specific intersection of requirements. The following analysis identifies the precise areas where vanilla implementations attempting to execute complex workflows typically devolve into amateurish presentations, thereby weakening trust, obscuring identity, and destroying usability. This serves as a predictive audit of the "Einherjar Endeavor" architecture, highlighting the pitfalls it must systematically avoid to achieve its stated objectives.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immediate indicator of an amateur vanilla frontend build is an inconsistent spatial rhythm across the layout. Without the guardrails of a framework's pre-calculated grid system, developers working in plain CSS frequently rely on arbitrary margin and padding values assigned on a component-by-component basis. The design must establish a strict, mathematically sound spacing scale—for example, utilizing rem units based on a base-8 or base-4 scale—implemented via CSS Custom Properties. If sections within the "Einherjar Endeavor" site lack mathematically consistent padding, or if the whitespace between form groups varies depending on the viewport size, the entire interface will feel incoherent and visually unstable.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visual hierarchy must be established primarily through typographic scale, font weight, and negative space, rather than merely drawing borders or bounding boxes around every element. The overuse of borders creates severe visual noise and cognitive overload, which is lethal to an intake form's completion rate and directly contradicts the minimalist, functional design trends dominating 2025 standards.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brand operating under the moniker "Einherjar" risks leaning far too heavily into aggressive, militaristic, or hyper-masculine aesthetics derived from Norse mythology. If the typography relies on distressed, display, or runic fonts, or if the color palette utilizes high-saturation reds and blacks without incredibly careful moderation, the site will appear highly performative, juvenile, or related to a gaming clan rather than a professional research entity. A legitimate, high-trust research organization requires a subdued, highly legible typographic scale across all viewports. The color strategy must ensure strict WCAG AA compliance for contrast, particularly for form labels, placeholder text, and error states.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use of color must be entirely semantic and functional; for instance, red should be strictly reserved for critical validation errors or destructive actions, not used as a primary brand accent that inadvertently induces user anxiety during the critical data-entry phase.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profound and common risk that the messaging across a newly launched mission-driven site will read as AI-generated filler. The reliance on words like "Unlock," "Revolutionize," "Synergize," or the inclusion of verbose, meandering paragraphs explaining the overarching mission without detailing the actual, concrete mechanics of the research will instantly degrade institutional credibility.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copy tone must be precise, authoritative, and deeply functional. Every sentence must justify its existence on the page. The calls-to-action must be definitively action-driven and outcome-oriented. Using generic labels like "Submit" or "Next" fails the standard of excellent microcopy; buttons should describe outcomes, such as "Submit Research Profile" or "Continue to Background Verification".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Vague advice or grandiose mission statements without concrete operational details will make the project look like a digital façade rather than a functional, serious tool.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implementation of the forms is the ultimate proving ground where the site will either prove its worth as a research intake system or fail the Next Chapter vanilla rubric entirely. A pervasive amateur mistake in frontend development is using the HTML placeholder attribute as the sole field label to save space and achieve a minimalist look.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a severe usability and accessibility violation; once the user clicks into the field and begins typing, the contextual label vanishes. All inputs must utilize explicitly associated &lt;label&gt; elements, properly linked via the for attribute to the input's unique id. Furthermore, the form must employ a strict single-column layout, particularly on mobile viewports.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Multi-column forms disrupt the user's vertical scanning momentum, cause cognitive friction, and frequently result in missed fields. If the form attempts a complex, multi-column grid layout using CSS to appear more "desktop-like," it is likely compromising fundamental usability for the sake of aesthetic complexity.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vanilla JavaScript environment, managing complex form state, validation, and submission logic is highly susceptible to messy, procedural code. If the JavaScript relies on inline event handlers directly within the HTML markup (e.g., onclick="...") or deeply nested, callback-heavy functions, it fails the standard of professional craftsmanship required by elite engineering apprenticeships.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code must demonstrate sophisticated event delegation, where a single listener attached to a parent container manages interactions for dynamically generated children. The submission logic must cleanly serialize the FormData into a structured JavaScript object, intercept the default browser submission behavior (e.preventDefault()), and handle asynchronous network operations using modern syntax (async/await with the Fetch API) encased in robust try/catch blocks. The absence of a clear, unmissable loading state—such as disabling the submit button, altering its text to "Processing...", and displaying a visual spinner—during asynchronous data submission is a critical friction point that directly causes duplicate database entries, user anxiety, and a complete breakdown of trust.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and Workflow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function effectively as the primary ingestion mechanism for downstream multi-agent workflows and sophisticated dossier compilation, the forms within the Einherjar Endeavor must transcend simple user interface components and operate as a rigorously structured, unyielding data schema. The current analysis evaluates the necessary architectural design to ensure the output is flawlessly machine-readable and analytically potent, avoiding the common pitfalls of vague data collection.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"Contact Us" form structure is entirely insufficient for the demands of research dossier preparation.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intake system must be architected from the ground up to collect highly specific, strictly typed categories of information. A chaotic or shallow structure—such as relying heavily on large &lt;textarea&gt; elements and asking users to broadly "describe their background"—will yield unstructured, narrative text. This unstructured data requires extensive, expensive, and error-prone natural language processing to normalize before it can be utilized by downstream agents.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sequence of questions must support efficient, automated analysis, minimizing cognitive load while maximizing data fidelity. The workflow should be divided into a logical, multi-step progressive disclosure process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 and Authentication (Step 1):</w:t>
      </w:r>
      <w:r w:rsidDel="00000000" w:rsidR="00000000" w:rsidRPr="00000000">
        <w:rPr>
          <w:rFonts w:ascii="Google Sans" w:cs="Google Sans" w:eastAsia="Google Sans" w:hAnsi="Google Sans"/>
          <w:color w:val="1f1f1f"/>
          <w:rtl w:val="0"/>
        </w:rPr>
        <w:t xml:space="preserve"> Collection of basic, deterministic data (Legal Name, Contact Modalities, Standard Identifiers). This establishes the primary key for the database record.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Categorical Classification (Step 2):</w:t>
      </w:r>
      <w:r w:rsidDel="00000000" w:rsidR="00000000" w:rsidRPr="00000000">
        <w:rPr>
          <w:rFonts w:ascii="Google Sans" w:cs="Google Sans" w:eastAsia="Google Sans" w:hAnsi="Google Sans"/>
          <w:color w:val="1f1f1f"/>
          <w:rtl w:val="0"/>
        </w:rPr>
        <w:t xml:space="preserve"> Utilizing HTML &lt;select&gt; dropdowns, &lt;input type="radio"&gt; button groups, and &lt;input type="checkbox"&gt; arrays to classify the subject into predefined, immutable research taxonomies. This ensures zero data variance for categorical metrics.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Quantitative Metrics (Step 3):</w:t>
      </w:r>
      <w:r w:rsidDel="00000000" w:rsidR="00000000" w:rsidRPr="00000000">
        <w:rPr>
          <w:rFonts w:ascii="Google Sans" w:cs="Google Sans" w:eastAsia="Google Sans" w:hAnsi="Google Sans"/>
          <w:color w:val="1f1f1f"/>
          <w:rtl w:val="0"/>
        </w:rPr>
        <w:t xml:space="preserve"> Utilizing &lt;input type="number"&gt; elements with strict min, max, and step constraints enforced by the browser to collect measurable data, eliminating the possibility of users entering "five" instead of "5".</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Qualitative Context (Step 4):</w:t>
      </w:r>
      <w:r w:rsidDel="00000000" w:rsidR="00000000" w:rsidRPr="00000000">
        <w:rPr>
          <w:rFonts w:ascii="Google Sans" w:cs="Google Sans" w:eastAsia="Google Sans" w:hAnsi="Google Sans"/>
          <w:color w:val="1f1f1f"/>
          <w:rtl w:val="0"/>
        </w:rPr>
        <w:t xml:space="preserve"> Utilizing bounded &lt;textarea&gt; elements with strict maxlength attributes for necessary context, specifically prompted with precise instructions to extract actionable insights rather than general, rambling narratives.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downstream multi-agent systems to function optimally and without hallucination, the data payload must be entirely predictable.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current form architecture allows arbitrary string inputs for temporal data (e.g., a text input where a user might type "March 5th", "03/05/2025", or "next week"), the downstream parsing workflow will inevitably break. All temporal data must utilize &lt;input type="date"&gt; or &lt;input type="datetime-local"&gt; to ensure strict ISO 8601 formatting prior to submission.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 professional-grade form must collect critical metadata silently in the background. The vanilla JavaScript should capture UTC timestamps of the submission, user-agent context, device viewport metrics, and calculate time-to-completion metrics for the various form stages, appending these to the final JSON payload. This metadata provides indispensable context for downstream agents regarding the confidence, origin, and potential friction points of the data collection process.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output is perfectly suited for structured processing, the vanilla JavaScript must actively intercept the form submission and construct a specific JSON schema, rather than simply passing raw FormData via a URL-encoded string.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example of the required output structure for seamless downstream agent ingestion: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"submissionId"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14"/>
          <w:szCs w:val="14"/>
          <w:shd w:fill="f0f4f9" w:val="clear"/>
          <w:rtl w:val="0"/>
        </w:rPr>
        <w:t xml:space="preserve">"uuid-generated-on-client"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"timestampUTC"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14"/>
          <w:szCs w:val="14"/>
          <w:shd w:fill="f0f4f9" w:val="clear"/>
          <w:rtl w:val="0"/>
        </w:rPr>
        <w:t xml:space="preserve">"2026-03-20T14:47:00Z"</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"timeToCompletionSeconds"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142</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"subjectClassification"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"primaryDomain"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14"/>
          <w:szCs w:val="14"/>
          <w:shd w:fill="f0f4f9" w:val="clear"/>
          <w:rtl w:val="0"/>
        </w:rPr>
        <w:t xml:space="preserve">"enum_value_strict"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"clearanceLevel"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14"/>
          <w:szCs w:val="14"/>
          <w:shd w:fill="f0f4f9" w:val="clear"/>
          <w:rtl w:val="0"/>
        </w:rPr>
        <w:t xml:space="preserve">"enum_value_strict"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"quantitativeMetrics"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"yearsExperience"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"confidenceScore"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8</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"qualitativeContext"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14"/>
          <w:szCs w:val="14"/>
          <w:shd w:fill="f0f4f9" w:val="clear"/>
          <w:rtl w:val="0"/>
        </w:rPr>
        <w:t xml:space="preserve">"missionStatement"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14"/>
          <w:szCs w:val="14"/>
          <w:shd w:fill="f0f4f9" w:val="clear"/>
          <w:rtl w:val="0"/>
        </w:rPr>
        <w:t xml:space="preserve">"Sanitized string input restricted to 500 characters."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form design that fails to easily, predictably, and cleanly serialize into this type of strictly typed nested schema is fundamentally incompatible with advanced automated dossier workflows and represents a critical failure of the frontend architecture.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Red-Team Findings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Attacking the "Einherjar Endeavor" conceptual architecture from multiple skeptical, adversarial perspectives reveals critical vulnerabilities in trust, usability, and technical execution that must be preemptively identified and eradicated before bulk-sharing the project.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the perspective of a highly skeptical user, arriving at an intake portal requesting detailed, potentially sensitive research data, the immediate search is for trust signals.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primary trust breaker is a lack of operational transparency. If the site does not explicitly state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 specific data points are being collected, </w:t>
      </w:r>
      <w:r w:rsidDel="00000000" w:rsidR="00000000" w:rsidRPr="00000000">
        <w:rPr>
          <w:rFonts w:ascii="Google Sans" w:cs="Google Sans" w:eastAsia="Google Sans" w:hAnsi="Google Sans"/>
          <w:i w:val="1"/>
          <w:iCs w:val="1"/>
          <w:color w:val="1f1f1f"/>
          <w:rtl w:val="0"/>
        </w:rPr>
        <w:t xml:space="preserve">who</w:t>
      </w:r>
      <w:r w:rsidDel="00000000" w:rsidR="00000000" w:rsidRPr="00000000">
        <w:rPr>
          <w:rFonts w:ascii="Google Sans" w:cs="Google Sans" w:eastAsia="Google Sans" w:hAnsi="Google Sans"/>
          <w:color w:val="1f1f1f"/>
          <w:rtl w:val="0"/>
        </w:rPr>
        <w:t xml:space="preserve"> specifically has access to the database, and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infrastructure is secured, the user will permanently abandon the process.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if the visual design appears overly templated, utilizing generic component libraries, or conversely, completely unstyled and raw, the site will feel indistinguishable from a phishing attempt. The absence of a clear, jargon-free privacy policy linked directly beneath the submission button is a massive, unforgivable credibility gap.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perspective of a nonprofit stakeholder or institutional backer evaluating the project for legitimacy, the focus is on mission alignment and operational clarity. If the branding leans too heavily into the "Einherjar" mythological warrior motif without immediately and firmly anchoring it in concrete, professional research objectives, the project will appear juvenile, disjointed, or overly niche.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messaging risks being misread as an elaborate role-playing exercise or a gaming clan portal rather than a serious research endeavor if the copywriting does not rigorously maintain a professional, academic, or enterprise tone. A mismatch between a dramatic visual style and the practical, clinical utility of the site will cause institutional evaluators to dismiss the project entirely.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the perspective of a technical reviewer representing a rigorous program like Next Chapter, scrutinizing a vanilla HTML/CSS/JS project involves a ruthless hunt for architectural anti-patterns.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Global Scope Pollution:</w:t>
      </w:r>
      <w:r w:rsidDel="00000000" w:rsidR="00000000" w:rsidRPr="00000000">
        <w:rPr>
          <w:rFonts w:ascii="Google Sans" w:cs="Google Sans" w:eastAsia="Google Sans" w:hAnsi="Google Sans"/>
          <w:color w:val="1f1f1f"/>
          <w:rtl w:val="0"/>
        </w:rPr>
        <w:t xml:space="preserve"> If the JavaScript variables and functions are declared lazily in the global scope rather than safely encapsulated within ES6 modules or Immediately Invoked Function Expressions (IIFEs), it demonstrates a fundamental lack of architectural maturity and an inability to build scalable systems.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Vulnerabilities:</w:t>
      </w:r>
      <w:r w:rsidDel="00000000" w:rsidR="00000000" w:rsidRPr="00000000">
        <w:rPr>
          <w:rFonts w:ascii="Google Sans" w:cs="Google Sans" w:eastAsia="Google Sans" w:hAnsi="Google Sans"/>
          <w:color w:val="1f1f1f"/>
          <w:rtl w:val="0"/>
        </w:rPr>
        <w:t xml:space="preserve"> If the vanilla JavaScript processes user input and renders it back to the DOM utilizing the innerHTML property without implementing strict sanitization protocols, it introduces severe Cross-Site Scripting (XSS) vulnerabilities. A professional vanilla implementation must use textContent or document.createElement() to manipulate the DOM safely and securely.</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CSS Architecture Failures:</w:t>
      </w:r>
      <w:r w:rsidDel="00000000" w:rsidR="00000000" w:rsidRPr="00000000">
        <w:rPr>
          <w:rFonts w:ascii="Google Sans" w:cs="Google Sans" w:eastAsia="Google Sans" w:hAnsi="Google Sans"/>
          <w:color w:val="1f1f1f"/>
          <w:rtl w:val="0"/>
        </w:rPr>
        <w:t xml:space="preserve"> A technical reviewer will immediately reject a project relying on a single, monolithic style.css file filled with !important overrides, magic numbers, and deeply nested, highly specific CSS selectors. The absolute expectation is a modular CSS structure utilizing variables for all colors, typography, and spacing, demonstrating an understanding of maintainability and design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Accessibility Negligence:</w:t>
      </w:r>
      <w:r w:rsidDel="00000000" w:rsidR="00000000" w:rsidRPr="00000000">
        <w:rPr>
          <w:rFonts w:ascii="Google Sans" w:cs="Google Sans" w:eastAsia="Google Sans" w:hAnsi="Google Sans"/>
          <w:color w:val="1f1f1f"/>
          <w:rtl w:val="0"/>
        </w:rPr>
        <w:t xml:space="preserve"> The red team will navigate the site utilizing only a keyboard and a screen reader emulator. If focus states are removed (outline: none applied without a custom, high-contrast focus style), or if semantic markup is ignored (e.g., using &lt;div&gt; elements with attached click handlers instead of native &lt;button&gt; elements), the project fails the accessibility rubric completely, rendering the site unusable for disabled populations and violating modern web standards.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Prioritized Fixes and Recommendations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"Einherjar Endeavor" from an experimental project to a professional-grade standard capable of handling robust research workflows and passing a rigorous technical review, the following tiered recommendations must be implemented systematically.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Immediate Fixes (Pre-Sharing Requirements)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issues represent critical blockers for basic usability, baseline trust, and technical compliance. They must be resolved before the URL is shared with any external party.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it matters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Placeholder Labels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Severely degrades accessibility; causes user amnesia during data input when the placeholder vanishes.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Replace all placeholder attributes serving as primary labels with explicit &lt;label&gt; tags placed visually above the inputs.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measurable increase in form completion rates and WCAG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Usability / Accessibility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Vague Data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will immediately abandon complex forms if they do not trust the destination and security of their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 clear, reassuring microcopy below sensitive fields and a plain-language privacy statement directly above the submit button explaining data usage.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Significant boost in perceived trust, safety, and overall submission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 / Credibility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Unstructured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Free-text fields destroy the ability of downstream agents to parse the data reliably without manual sanitization.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Convert general text inputs into semantic &lt;select&gt;, &lt;input type="radio"&gt;, or constrained &lt;input type="number"&gt; fields wherever exact categorical data points are needed.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data sanitization overhead and ensures a pristine payload for the dossier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Quality</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High-Value Next-Step Improvements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enhancements establish the project as a mature, carefully crafted web application rather than a basic, static webpage.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it matters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Monolithic Form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 single-page forms induce massive cognitive overload and guarantee high abandonment rates.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a vanilla JS-driven multi-step form architecture (progressive disclosure) featuring a clear visual progress bar.</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Dramatically reduces user friction and actively leverages psychological commitment principles.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UX / Aesthetics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Punitive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Validating forms only upon final submission frustrates users, forcing them to hunt for unseen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the HTML5 Constraint Validation API via JS to provide real-time, inline, positive and negative feedback exclusively on field blur events.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a frictionless, "calm" user experience during the high-stress intake process.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UX / Usability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CSS Inconsistency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magic-number values lead to inevitable layout breakage and an amateur aesthetic across viewports.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Refactor the CSS to utilize a :root scope with Custom Properties (variables) governing all colors, typography scales, and spacing units.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absolute visual cohesion and demonstrates advanced, maintainable CSS mastery to evaluators.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Rubric</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Longer-Term Upgrades for Professional Polish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upgrades represent the pinnacle of vanilla web development, suitable for a senior-level portfolio submission and enterprise-grade deployment.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it matters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Loss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investing time in a complex research form will be furious if a browser refresh erases their progress.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vanilla JS logic to continuously serialize the current form state to localStorage on input, automatically restoring it upon page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user frustration entirely and adds enterprise-level resilience to the intake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UX /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Spaghetti JavaScript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Procedural, unstructured JS becomes impossible to maintain or debug as the complexity of the dossier logic grows.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Refactor all JavaScript into strict ES6 modules, cleanly separating DOM manipulation (UI layer) from data serialization and API communication (State layer).</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Secures top marks in technical code reviews (e.g., Next Chapter) by demonstrating software engineering principles.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Rubric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Submission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 handling of network latency during API calls leads to duplicate dossier entries and perceived system crashes.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a robust asynchronous submission handler that disables the submit button, displays an active loading state, and handles network errors gracefully via UI feedback.</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absolute data integrity, prevents database pollution, and provides clear, reassuring system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Usability / Workflow</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Verdict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 this ready to send widely right now?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under the assumption that the live site currently reflects standard baseline vanilla practices without the rigorous architectural execution detailed above, it is definitively not ready for bulk sharing. Releasing it prematurely without executing the Tier 1 immediate fixes regarding explicit accessibility labeling, strict data structuring, and highly visible trust signals risks severely alienating the target audience. Furthermore, it will inevitably result in a database filled with unstructured submissions that are functionally useless for downstream automated processing.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Does it feel professional-grade?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ambition of merging a mythological identity with a rigorous research intake portal is exceptionally high. However, achieving a professional grade in a framework-less vanilla environment requires a ruthless, almost obsessive attention to spatial rhythm, typographic hierarchy, and DOM security. If the site currently relies on monolithic CSS structures and procedural, globally scoped JavaScript, it will categorically fail to meet the standard of modern enterprise web applications.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Does it satisfy the likely spirit of a Next Chapter vanilla frontend rubric?</w:t>
      </w:r>
      <w:r w:rsidDel="00000000" w:rsidR="00000000" w:rsidRPr="00000000">
        <w:rPr>
          <w:rFonts w:ascii="Google Sans" w:cs="Google Sans" w:eastAsia="Google Sans" w:hAnsi="Google Sans"/>
          <w:color w:val="1f1f1f"/>
          <w:rtl w:val="0"/>
        </w:rPr>
        <w:t xml:space="preserve"> To satisfy the exacting standards of the Next Chapter rubric, the pristine quality of the underlying code must be the primary focus.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portfolio project must empirically prove that the developer understands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complex frameworks exist by successfully managing application state, deep accessibility requirements, and modular code architecture without relying on them. If the JavaScript is heavily intertwined with the HTML and the CSS lacks a systemic, variable-driven architecture, it will fall significantly short of the program's engineering expectations.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Is the form system mature enough to support serious research and dossier preparation?</w:t>
      </w:r>
      <w:r w:rsidDel="00000000" w:rsidR="00000000" w:rsidRPr="00000000">
        <w:rPr>
          <w:rFonts w:ascii="Google Sans" w:cs="Google Sans" w:eastAsia="Google Sans" w:hAnsi="Google Sans"/>
          <w:color w:val="1f1f1f"/>
          <w:rtl w:val="0"/>
        </w:rPr>
        <w:t xml:space="preserve"> A standard, un-enhanced HTML &lt;form&gt; element is fundamentally insufficient for this objective. The intake system is only considered mature enough if the vanilla JavaScript layer actively intercepts the user input, sanitizes it, enforces strict data typing, and serializes the information into a rigid JSON schema capable of being seamlessly digested by a large language model or multi-agent workflow without requiring any human intervention or data cleaning.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Evaluation Scores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As the live interface was inaccessible via automated extraction, these scores represent the stringent benchmark requirements and predicted outcomes based on the intersection of the project's ambitious goals and the known limitations of vanilla frontend development.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Score (1-10)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Aesthetic Quality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strict adherence to a defined, variable-driven spacing scale and fluid typography to overcome the lack of a pre-built CSS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Distinctiveness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"Einherjar" brand provides a highly unique angle, provided it entirely avoids performative militaristic cliches and stringently maintains an academic or professional research 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Professionalism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dependent on the flawless implementation of visible trust signals, comprehensive privacy policies, and humane, inline error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Trustworthiness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remain critically low until explicit data usage context, retention policies, and security measures are provided directly alongside the intake fields.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UX Clarity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Achievable only if the complex intake process utilizes progressive disclosure (multi-step forms) to aggressively reduce cognitive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completely abandon free-text reliance in favor of heavily constrained, typed inputs (selects, radios, specific HTML5 date formats).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Workflow Readiness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the JavaScript layer to generate a perfectly structured, deterministic JSON payload for seamless downstream agent ingestion.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Technical/Rubric 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Entirely dependent on the demonstrable use of semantic HTML5, CSS Custom Properties, and ES6+ modular JavaScript demonstrating a strict separation of concerns.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Readiness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 the immediate implementation of Tier 1 and Tier 2 recommendations to ensure baseline data integrity, accessibility, and user trust.</w:t>
            </w:r>
          </w:p>
        </w:tc>
      </w:tr>
    </w:tbl>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einherjarendeavor.github.io,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https://einherjarendeavor.github.io/</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 Development in 2026: Top Trends, Skills, and Career Opportunities,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https://www.refontelearning.com/blog/front-end-development-in-2026-top-trends-skills-and-career-opportunities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Chapter: Helping formerly incarcerated individuals find work and succeed in tech,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https://slack.com/blog/news/next-chapter-a-pilot-program-aiming-to-help-formerly-incarcerated-individuals-find-work-and-succeed-in-tech</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Chapter expands to 14 companies - Slack,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https://slack.com/blog/news/next-chapter-expands-to-14-companies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Non-Profit Web Designs In 2025: Inspiring Sites That Drive Impact | Craft + Code,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https://www.craftandcode.agency/insights/best-non-profit-web-designs-in-2025-inspiring-sites-that-drive-impact</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Nonprofit Website Design: Essential 2025 - FZP Digital,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https://fzpdigital.com/best-practices-for-nonprofit-website-design/</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Tips to Create Effective Intake Forms,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https://www.zentake.com/blog-post/8-tips-effective-intake-forms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UX for High-Stakes Data: Designing Calm, Trustworthy Experiences for Payments, Healthcare, and Hiring,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https://blog.ezpa.ge/form-ux-for-high-stakes-data-designing-calm-trustworthy-experie</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Vanilla Tech Just for Juniors? Exploring the Role of HTML, CSS, and JS in 2024,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https://www.youtube.com/watch?v=NXve-ELIkq8</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Real Frontend Work | Vanilla CSS + JavaScript | Part 5 - YouTube,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https://www.youtube.com/watch?v=gmgayYfgITc</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Best-Website Designs of 2025: Digital Masterpieces - Houseink Studio,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https://houseinkstudio.com/top-25-website-designs-of-2025/</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UX Best Practices: How to Design Forms That Convert - ALF Design Group,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https://www.alfdesigngroup.com/post/form-ux-best-practices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Nonprofit Website Design Best Practices 2025: Master Success - FZP Digital,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https://fzpdigital.com/nonprofit-website-design-best-practices-2025/</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Nonprofit Web Design Trends to Watch in 2025 - ELEVATION,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https://www.elevationweb.org/blog/9-nonprofit-web-design-trends-to-watch-in-2025/</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Best Practices: Guide to High-Converting Online Forms - Involve.me,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https://www.involve.me/blog/form-best-practices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form design - UX Collective,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https://uxdesign.cc/best-practices-for-form-design-ff5de6ca8e5f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the Secrets of Effective Dossier Preparation &amp; Submission,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https://qxpts.com/unlock-the-secrets-of-effective-dossier-preparation-and-submission/</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Dossier Preparation | WHO - Prequalification of Medical Products (IVDs, Medicines, Vaccines and Immunization Devices, Vector Control) - World Health Organization (WHO),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https://extranet.who.int/prequal/vector-control-products/dossier-preparation</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building a high-performing website in 2025 - Think Little Big,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https://thinklittlebig.com/blog/best-practices-for-building-a-high-performing-website-in-2025/</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Nonprofit Websites for Inspiration + 7 Key Resources for 2025 - - Elevation Web,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https://www.elevationweb.org/best-nonprofit-websites/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Website Design Mistakes Nonprofits Should Avoid in 2025,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https://www.nonprofitpro.com/post/5-website-design-mistakes-nonprofits-should-avoid-in-2025/</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Prepare Dossier? - Royed Training,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https://royed.in/how-to-prepare-dossier/</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Chapter | Talent is everywhere. Opportunity is not.,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https://www.nextchapterproject.org/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volve.me/blog/form-best-practices" TargetMode="External"/><Relationship Id="rId22" Type="http://schemas.openxmlformats.org/officeDocument/2006/relationships/hyperlink" Target="https://qxpts.com/unlock-the-secrets-of-effective-dossier-preparation-and-submission/" TargetMode="External"/><Relationship Id="rId21" Type="http://schemas.openxmlformats.org/officeDocument/2006/relationships/hyperlink" Target="https://uxdesign.cc/best-practices-for-form-design-ff5de6ca8e5f" TargetMode="External"/><Relationship Id="rId24" Type="http://schemas.openxmlformats.org/officeDocument/2006/relationships/hyperlink" Target="https://thinklittlebig.com/blog/best-practices-for-building-a-high-performing-website-in-2025/" TargetMode="External"/><Relationship Id="rId23" Type="http://schemas.openxmlformats.org/officeDocument/2006/relationships/hyperlink" Target="https://extranet.who.int/prequal/vector-control-products/dossier-prepa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lack.com/blog/news/next-chapter-expands-to-14-companies" TargetMode="External"/><Relationship Id="rId26" Type="http://schemas.openxmlformats.org/officeDocument/2006/relationships/hyperlink" Target="https://www.nonprofitpro.com/post/5-website-design-mistakes-nonprofits-should-avoid-in-2025/" TargetMode="External"/><Relationship Id="rId25" Type="http://schemas.openxmlformats.org/officeDocument/2006/relationships/hyperlink" Target="https://www.elevationweb.org/best-nonprofit-websites/" TargetMode="External"/><Relationship Id="rId28" Type="http://schemas.openxmlformats.org/officeDocument/2006/relationships/hyperlink" Target="https://www.nextchapterproject.org/" TargetMode="External"/><Relationship Id="rId27" Type="http://schemas.openxmlformats.org/officeDocument/2006/relationships/hyperlink" Target="https://royed.in/how-to-prepare-dossier/" TargetMode="External"/><Relationship Id="rId5" Type="http://schemas.openxmlformats.org/officeDocument/2006/relationships/styles" Target="styles.xml"/><Relationship Id="rId6" Type="http://schemas.openxmlformats.org/officeDocument/2006/relationships/hyperlink" Target="https://einherjarendeavor.github.io/" TargetMode="External"/><Relationship Id="rId7" Type="http://schemas.openxmlformats.org/officeDocument/2006/relationships/hyperlink" Target="https://www.refontelearning.com/blog/front-end-development-in-2026-top-trends-skills-and-career-opportunities" TargetMode="External"/><Relationship Id="rId8" Type="http://schemas.openxmlformats.org/officeDocument/2006/relationships/hyperlink" Target="https://slack.com/blog/news/next-chapter-a-pilot-program-aiming-to-help-formerly-incarcerated-individuals-find-work-and-succeed-in-tech" TargetMode="External"/><Relationship Id="rId11" Type="http://schemas.openxmlformats.org/officeDocument/2006/relationships/hyperlink" Target="https://fzpdigital.com/best-practices-for-nonprofit-website-design/" TargetMode="External"/><Relationship Id="rId10" Type="http://schemas.openxmlformats.org/officeDocument/2006/relationships/hyperlink" Target="https://www.craftandcode.agency/insights/best-non-profit-web-designs-in-2025-inspiring-sites-that-drive-impact" TargetMode="External"/><Relationship Id="rId13" Type="http://schemas.openxmlformats.org/officeDocument/2006/relationships/hyperlink" Target="https://blog.ezpa.ge/form-ux-for-high-stakes-data-designing-calm-trustworthy-experie" TargetMode="External"/><Relationship Id="rId12" Type="http://schemas.openxmlformats.org/officeDocument/2006/relationships/hyperlink" Target="https://www.zentake.com/blog-post/8-tips-effective-intake-forms" TargetMode="External"/><Relationship Id="rId15" Type="http://schemas.openxmlformats.org/officeDocument/2006/relationships/hyperlink" Target="https://www.youtube.com/watch?v=gmgayYfgITc" TargetMode="External"/><Relationship Id="rId14" Type="http://schemas.openxmlformats.org/officeDocument/2006/relationships/hyperlink" Target="https://www.youtube.com/watch?v=NXve-ELIkq8" TargetMode="External"/><Relationship Id="rId17" Type="http://schemas.openxmlformats.org/officeDocument/2006/relationships/hyperlink" Target="https://www.alfdesigngroup.com/post/form-ux-best-practices" TargetMode="External"/><Relationship Id="rId16" Type="http://schemas.openxmlformats.org/officeDocument/2006/relationships/hyperlink" Target="https://houseinkstudio.com/top-25-website-designs-of-2025/" TargetMode="External"/><Relationship Id="rId19" Type="http://schemas.openxmlformats.org/officeDocument/2006/relationships/hyperlink" Target="https://www.elevationweb.org/blog/9-nonprofit-web-design-trends-to-watch-in-2025/" TargetMode="External"/><Relationship Id="rId18" Type="http://schemas.openxmlformats.org/officeDocument/2006/relationships/hyperlink" Target="https://fzpdigital.com/nonprofit-website-design-best-practices-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