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Framework for Elite Deep Research and Knowledge-Harvesting Systems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 Executive Judgment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traditional information retrieval to elite knowledge harvesting represents an epistemological shift in how automated systems interface with global data. The current paradigm of search-enabled large language models (LLMs) often results in a phenomenon colloquially termed "robotic sludge"—outputs that are structurally superficial, factually untethered, and devoid of the strategic depth required for high-stakes decision-making.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construct an optimal research engine, one must move beyond the "summary" as a final product and instead aim for the creation of a "durable knowledge base" that is auditable, resilient to misinformation, and intellectually forceful.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elite research engine must be architected as a multi-layered, agentic intelligence system. This system does not merely "search" for answers; it frames missions, hunts information aggressively across primary and secondary sources, and evaluates evidence through structured analytic techniques (SATs).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core of such a system is the integration of neural capabilities—the generative power of LLMs—with symbolic logic and rigorous methodological frameworks derived from intelligence analysis and investigative journalism.</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 for success in high-stakes research is the production of "dossier-grade" artifacts. These are documents characterized by leak-proof logic, high evidence density, and a rhetorical architecture that drives understanding rather than just information awareness.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Such a system must be capable of answering the explicit question while simultaneously identifying adjacent risks, surfacing non-obvious data, and proposing concrete next actions.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following report details the frameworks, structures, and loops necessary to build an engine capable of dominating serious inquiries.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 High-Value Methodologies / Frameworks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effectiveness of a research engine is fundamentally limited by the rigor of its underlying analytical methodology. Elite systems must adopt formal frameworks to combat cognitive biases, such as confirmation bias and the tendency to favor early information.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 Analytic Techniques (SATs)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Intelligence professionals rely on over 50 standardized techniques to manage ambiguity and complexity.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These techniques provide the "thinking about thinking" (metacognition) required to ensure that a research engine does not merely follow the path of least resistance but aggressively tests its own conclusions.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Technique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Objective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Methodologies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Diagnostic Techniques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Evaluate evidence quality and test underlying premises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Analysis of Competing Hypotheses (ACH), Key Assumptions Check, Indicators Validator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Contrarian Techniques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Systematically challenge the consensus or the system's own "first draft"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Devil's Advocacy, Red Team Analysis, Team A/Team B Analysis, High Impact/Low Probability Analysis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Imaginative Thinking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Explore future trajectories and non-obvious outcomes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Alternative Futures Analysis, Multiple Scenario Generation, Morphological Analysis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Conflict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Handle contradictions and divergent viewpoints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Adversarial Collaboration, Structured Debate, Complexity Manager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critical of these is the </w:t>
      </w:r>
      <w:r w:rsidDel="00000000" w:rsidR="00000000" w:rsidRPr="00000000">
        <w:rPr>
          <w:rFonts w:ascii="Google Sans" w:cs="Google Sans" w:eastAsia="Google Sans" w:hAnsi="Google Sans"/>
          <w:b w:val="1"/>
          <w:bCs w:val="1"/>
          <w:color w:val="1f1f1f"/>
          <w:rtl w:val="0"/>
        </w:rPr>
        <w:t xml:space="preserve">Analysis of Competing Hypotheses (ACH)</w:t>
      </w:r>
      <w:r w:rsidDel="00000000" w:rsidR="00000000" w:rsidRPr="00000000">
        <w:rPr>
          <w:rFonts w:ascii="Google Sans" w:cs="Google Sans" w:eastAsia="Google Sans" w:hAnsi="Google Sans"/>
          <w:color w:val="1f1f1f"/>
          <w:rtl w:val="0"/>
        </w:rPr>
        <w:t xml:space="preserve">. This technique requires the system to develop several plausible interpretations for a given set of facts and then evaluate the evidence against each interpretation simultaneously.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By using a matrix to see which evidence is consistent or inconsistent with each hypothesis, the system can surface contradictions that single-pass models would likely ignore.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Stanford STORM (Interactive Knowledge Curation)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STORM (Synthesis of Topic Outlines through Retrieval and Mining) provides an agentic blueprint for harvesting a topic in depth. Unlike standard Retrieval-Augmented Generation (RAG), which performs a single search-and-generate pass, STORM uses a multi-turn dialogue loop.</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Perspective-Driven Questioning:</w:t>
      </w:r>
      <w:r w:rsidDel="00000000" w:rsidR="00000000" w:rsidRPr="00000000">
        <w:rPr>
          <w:rFonts w:ascii="Google Sans" w:cs="Google Sans" w:eastAsia="Google Sans" w:hAnsi="Google Sans"/>
          <w:color w:val="1f1f1f"/>
          <w:rtl w:val="0"/>
        </w:rPr>
        <w:t xml:space="preserve"> The system simulates multiple experts with diverse backgrounds to ask a series of probing questions about a topic. This ensures that the research mission explores "adjacent" questions the user may not have explicitly framed.</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Outline Hardening:</w:t>
      </w:r>
      <w:r w:rsidDel="00000000" w:rsidR="00000000" w:rsidRPr="00000000">
        <w:rPr>
          <w:rFonts w:ascii="Google Sans" w:cs="Google Sans" w:eastAsia="Google Sans" w:hAnsi="Google Sans"/>
          <w:color w:val="1f1f1f"/>
          <w:rtl w:val="0"/>
        </w:rPr>
        <w:t xml:space="preserve"> Before a single paragraph of the report is written, STORM constructs a comprehensive hierarchical outline. This outline acts as a structural contract that prevents the "lost-in-the-middle" phenomenon common in long-form generation.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Collaborative (Co-STORM) Integration:</w:t>
      </w:r>
      <w:r w:rsidDel="00000000" w:rsidR="00000000" w:rsidRPr="00000000">
        <w:rPr>
          <w:rFonts w:ascii="Google Sans" w:cs="Google Sans" w:eastAsia="Google Sans" w:hAnsi="Google Sans"/>
          <w:color w:val="1f1f1f"/>
          <w:rtl w:val="0"/>
        </w:rPr>
        <w:t xml:space="preserve"> High-stakes missions often benefit from human-in-the-loop (HITL) collaboration. Co-STORM allows a human operator to steer the knowledge curation process as it unfolds, ensuring the engine remains aligned with strategic objectives.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Story-Based Inquiry (Hypothesis-Based Research)</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Investigative journalism provides the "hypothesis-based inquiry" model. In this framework, a story is treated as a proposition to be verified or disproven.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approach transforms research from a passive act of collecting "facts" into an active mission of verification.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Verification-as-you-go:</w:t>
      </w:r>
      <w:r w:rsidDel="00000000" w:rsidR="00000000" w:rsidRPr="00000000">
        <w:rPr>
          <w:rFonts w:ascii="Google Sans" w:cs="Google Sans" w:eastAsia="Google Sans" w:hAnsi="Google Sans"/>
          <w:color w:val="1f1f1f"/>
          <w:rtl w:val="0"/>
        </w:rPr>
        <w:t xml:space="preserve"> Unlike standard workflows where verification occurs at the end, this model integrates quality control into the research phase itself.</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Master File:</w:t>
      </w:r>
      <w:r w:rsidDel="00000000" w:rsidR="00000000" w:rsidRPr="00000000">
        <w:rPr>
          <w:rFonts w:ascii="Google Sans" w:cs="Google Sans" w:eastAsia="Google Sans" w:hAnsi="Google Sans"/>
          <w:color w:val="1f1f1f"/>
          <w:rtl w:val="0"/>
        </w:rPr>
        <w:t xml:space="preserve"> The engine must maintain a central repository where all evidence—documents, recordings, and statistics—is organized for composition and audit.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 Knowledge-Harvesting Structures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elite system must move beyond transient chat responses and build durable, auditable knowledge structures. These structures represent the "brain" of a long-term investigation.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Evidence Ledger and Claim Registry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Inspired by </w:t>
      </w:r>
      <w:r w:rsidDel="00000000" w:rsidR="00000000" w:rsidRPr="00000000">
        <w:rPr>
          <w:rFonts w:ascii="Google Sans" w:cs="Google Sans" w:eastAsia="Google Sans" w:hAnsi="Google Sans"/>
          <w:b w:val="1"/>
          <w:bCs w:val="1"/>
          <w:color w:val="1f1f1f"/>
          <w:rtl w:val="0"/>
        </w:rPr>
        <w:t xml:space="preserve">EviLedger</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b w:val="1"/>
          <w:bCs w:val="1"/>
          <w:color w:val="1f1f1f"/>
          <w:rtl w:val="0"/>
        </w:rPr>
        <w:t xml:space="preserve">SCITT (Supply Chain Integrity and Trust)</w:t>
      </w:r>
      <w:r w:rsidDel="00000000" w:rsidR="00000000" w:rsidRPr="00000000">
        <w:rPr>
          <w:rFonts w:ascii="Google Sans" w:cs="Google Sans" w:eastAsia="Google Sans" w:hAnsi="Google Sans"/>
          <w:color w:val="1f1f1f"/>
          <w:rtl w:val="0"/>
        </w:rPr>
        <w:t xml:space="preserve"> ledger, an elite research engine must track the provenance of every assertion it makes.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ledger converts heterogeneous documents into immutable assertions linked to cryptographic hashes.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Assertion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unique, immutable identifier for every individual extraction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Enables event-level provenance and auditability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Claim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content-based identifier (e.g., semantic hash)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Facilitates cross-source deduplication and matching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Evidence Hash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SHA-256 hash of the specific source evidence span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audit integrity and prevents tampering/drift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Temporal Metadata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Timestamps for publication, extraction, and ledger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Essential for managing "knowledge drift" and point-in-time reconstruction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Scope Tuple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Semantic anchors (e.g., SNOMED, RxNorm, or domain ontology)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Aligns the "context" of assertions to detect contradictions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Credibility Rationale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"so what" layer explaining the source's reliability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Moves output from "what" to "why this matters"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Master File Components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high-stakes research engine must automatically construct and maintain a Master File during the scouting phase.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file consists of four primary sub-structures:</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Master Chronology (Timeline):</w:t>
      </w:r>
      <w:r w:rsidDel="00000000" w:rsidR="00000000" w:rsidRPr="00000000">
        <w:rPr>
          <w:rFonts w:ascii="Google Sans" w:cs="Google Sans" w:eastAsia="Google Sans" w:hAnsi="Google Sans"/>
          <w:color w:val="1f1f1f"/>
          <w:rtl w:val="0"/>
        </w:rPr>
        <w:t xml:space="preserve"> A temporal mapping of all events. This is crucial for identifying causal relationships, identifying gaps in the record, and surfacing anomalies.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Cast List (Entity Map):</w:t>
      </w:r>
      <w:r w:rsidDel="00000000" w:rsidR="00000000" w:rsidRPr="00000000">
        <w:rPr>
          <w:rFonts w:ascii="Google Sans" w:cs="Google Sans" w:eastAsia="Google Sans" w:hAnsi="Google Sans"/>
          <w:color w:val="1f1f1f"/>
          <w:rtl w:val="0"/>
        </w:rPr>
        <w:t xml:space="preserve"> A comprehensive directory of individuals and organizations. It must track motives, opportunities, and means (MOM), as well as past practices (POP).</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Source Map:</w:t>
      </w:r>
      <w:r w:rsidDel="00000000" w:rsidR="00000000" w:rsidRPr="00000000">
        <w:rPr>
          <w:rFonts w:ascii="Google Sans" w:cs="Google Sans" w:eastAsia="Google Sans" w:hAnsi="Google Sans"/>
          <w:color w:val="1f1f1f"/>
          <w:rtl w:val="0"/>
        </w:rPr>
        <w:t xml:space="preserve"> A visual representation of the investigative field, mapping relationships between actors to identify alternative routes to information when primary sources are blocked.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Evidence Log:</w:t>
      </w:r>
      <w:r w:rsidDel="00000000" w:rsidR="00000000" w:rsidRPr="00000000">
        <w:rPr>
          <w:rFonts w:ascii="Google Sans" w:cs="Google Sans" w:eastAsia="Google Sans" w:hAnsi="Google Sans"/>
          <w:color w:val="1f1f1f"/>
          <w:rtl w:val="0"/>
        </w:rPr>
        <w:t xml:space="preserve"> A systematic index of all verified documents, cross-referenced with the Evidence Ledger.</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 Artifact Classes Worth Supporting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output of an elite engine should be a "high-leverage artifact" rather than a passive summary. These artifacts must be designed for specific decision-making contexts.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and Strategic Intelligence</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Operator Memo:</w:t>
      </w:r>
      <w:r w:rsidDel="00000000" w:rsidR="00000000" w:rsidRPr="00000000">
        <w:rPr>
          <w:rFonts w:ascii="Google Sans" w:cs="Google Sans" w:eastAsia="Google Sans" w:hAnsi="Google Sans"/>
          <w:color w:val="1f1f1f"/>
          <w:rtl w:val="0"/>
        </w:rPr>
        <w:t xml:space="preserve"> Following the </w:t>
      </w:r>
      <w:r w:rsidDel="00000000" w:rsidR="00000000" w:rsidRPr="00000000">
        <w:rPr>
          <w:rFonts w:ascii="Google Sans" w:cs="Google Sans" w:eastAsia="Google Sans" w:hAnsi="Google Sans"/>
          <w:b w:val="1"/>
          <w:bCs w:val="1"/>
          <w:color w:val="1f1f1f"/>
          <w:rtl w:val="0"/>
        </w:rPr>
        <w:t xml:space="preserve">McKinsey SCR (Situation-Complication-Resolution)</w:t>
      </w:r>
      <w:r w:rsidDel="00000000" w:rsidR="00000000" w:rsidRPr="00000000">
        <w:rPr>
          <w:rFonts w:ascii="Google Sans" w:cs="Google Sans" w:eastAsia="Google Sans" w:hAnsi="Google Sans"/>
          <w:color w:val="1f1f1f"/>
          <w:rtl w:val="0"/>
        </w:rPr>
        <w:t xml:space="preserve"> framework, this memo is designed for immediate action. It identifies the core problem and provides a clear path forward.</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Strategic Brief:</w:t>
      </w:r>
      <w:r w:rsidDel="00000000" w:rsidR="00000000" w:rsidRPr="00000000">
        <w:rPr>
          <w:rFonts w:ascii="Google Sans" w:cs="Google Sans" w:eastAsia="Google Sans" w:hAnsi="Google Sans"/>
          <w:color w:val="1f1f1f"/>
          <w:rtl w:val="0"/>
        </w:rPr>
        <w:t xml:space="preserve"> A roadmap for leadership that highlights priority threats and emerging capabilities. It must use a </w:t>
      </w:r>
      <w:r w:rsidDel="00000000" w:rsidR="00000000" w:rsidRPr="00000000">
        <w:rPr>
          <w:rFonts w:ascii="Google Sans" w:cs="Google Sans" w:eastAsia="Google Sans" w:hAnsi="Google Sans"/>
          <w:b w:val="1"/>
          <w:bCs w:val="1"/>
          <w:color w:val="1f1f1f"/>
          <w:rtl w:val="0"/>
        </w:rPr>
        <w:t xml:space="preserve">Macro-to-Micro Funnel</w:t>
      </w:r>
      <w:r w:rsidDel="00000000" w:rsidR="00000000" w:rsidRPr="00000000">
        <w:rPr>
          <w:rFonts w:ascii="Google Sans" w:cs="Google Sans" w:eastAsia="Google Sans" w:hAnsi="Google Sans"/>
          <w:color w:val="1f1f1f"/>
          <w:rtl w:val="0"/>
        </w:rPr>
        <w:t xml:space="preserve"> to personalize abstract policy through human-level stories.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Decision Memo:</w:t>
      </w:r>
      <w:r w:rsidDel="00000000" w:rsidR="00000000" w:rsidRPr="00000000">
        <w:rPr>
          <w:rFonts w:ascii="Google Sans" w:cs="Google Sans" w:eastAsia="Google Sans" w:hAnsi="Google Sans"/>
          <w:color w:val="1f1f1f"/>
          <w:rtl w:val="0"/>
        </w:rPr>
        <w:t xml:space="preserve"> A structured analysis of a specific, SMART question (Specific, Measurable, Action-oriented, Relevant, Time-bound). It evaluates success criteria and highlights constraints within the solution space.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Investigative and Evidentiary Reports</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Investigative Dossier:</w:t>
      </w:r>
      <w:r w:rsidDel="00000000" w:rsidR="00000000" w:rsidRPr="00000000">
        <w:rPr>
          <w:rFonts w:ascii="Google Sans" w:cs="Google Sans" w:eastAsia="Google Sans" w:hAnsi="Google Sans"/>
          <w:color w:val="1f1f1f"/>
          <w:rtl w:val="0"/>
        </w:rPr>
        <w:t xml:space="preserve"> An exhaustive repository of evidence on a person or entity. It is built to be "leak-proof" and must withstand legal and editorial scrutiny.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Comparative Analysis / Opportunity Map:</w:t>
      </w:r>
      <w:r w:rsidDel="00000000" w:rsidR="00000000" w:rsidRPr="00000000">
        <w:rPr>
          <w:rFonts w:ascii="Google Sans" w:cs="Google Sans" w:eastAsia="Google Sans" w:hAnsi="Google Sans"/>
          <w:color w:val="1f1f1f"/>
          <w:rtl w:val="0"/>
        </w:rPr>
        <w:t xml:space="preserve"> A feature-by-feature scoreboard that uses weighted scoring (e.g., TCO, Integration Fit) to surface non-obvious tradeoffs.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Claim Registry Export:</w:t>
      </w:r>
      <w:r w:rsidDel="00000000" w:rsidR="00000000" w:rsidRPr="00000000">
        <w:rPr>
          <w:rFonts w:ascii="Google Sans" w:cs="Google Sans" w:eastAsia="Google Sans" w:hAnsi="Google Sans"/>
          <w:color w:val="1f1f1f"/>
          <w:rtl w:val="0"/>
        </w:rPr>
        <w:t xml:space="preserve"> A raw, structured data artifact that provides the "Source Pack" for all findings, allowing the user to verify every link and benchmark used.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Formatting and Revision Standards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Intelligence Community (IC) standards for revised or recalled products offer a framework for handling evolving information. An engine must support:</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Substantive Revision:</w:t>
      </w:r>
      <w:r w:rsidDel="00000000" w:rsidR="00000000" w:rsidRPr="00000000">
        <w:rPr>
          <w:rFonts w:ascii="Google Sans" w:cs="Google Sans" w:eastAsia="Google Sans" w:hAnsi="Google Sans"/>
          <w:color w:val="1f1f1f"/>
          <w:rtl w:val="0"/>
        </w:rPr>
        <w:t xml:space="preserve"> Notifying the user of changes that affect analytic judgments.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Substantive Recall:</w:t>
      </w:r>
      <w:r w:rsidDel="00000000" w:rsidR="00000000" w:rsidRPr="00000000">
        <w:rPr>
          <w:rFonts w:ascii="Google Sans" w:cs="Google Sans" w:eastAsia="Google Sans" w:hAnsi="Google Sans"/>
          <w:color w:val="1f1f1f"/>
          <w:rtl w:val="0"/>
        </w:rPr>
        <w:t xml:space="preserve"> Explicitly withdrawing information found to be inaccurate or based on compromised sources.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Searchable Formatting:</w:t>
      </w:r>
      <w:r w:rsidDel="00000000" w:rsidR="00000000" w:rsidRPr="00000000">
        <w:rPr>
          <w:rFonts w:ascii="Google Sans" w:cs="Google Sans" w:eastAsia="Google Sans" w:hAnsi="Google Sans"/>
          <w:color w:val="1f1f1f"/>
          <w:rtl w:val="0"/>
        </w:rPr>
        <w:t xml:space="preserve"> All application dossiers must be in a searchable format and adhere to standardized naming conventions (e.g., CTR Annex I for clinical trials).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 Quality Differentiators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gap between robotic summaries and elite artifacts is defined by three dimensions: structural density, evidentiary rigor, and strategic rationale.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Density and Clarity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elite report employs </w:t>
      </w:r>
      <w:r w:rsidDel="00000000" w:rsidR="00000000" w:rsidRPr="00000000">
        <w:rPr>
          <w:rFonts w:ascii="Google Sans" w:cs="Google Sans" w:eastAsia="Google Sans" w:hAnsi="Google Sans"/>
          <w:b w:val="1"/>
          <w:bCs w:val="1"/>
          <w:color w:val="1f1f1f"/>
          <w:rtl w:val="0"/>
        </w:rPr>
        <w:t xml:space="preserve">Deductive Writing</w:t>
      </w:r>
      <w:r w:rsidDel="00000000" w:rsidR="00000000" w:rsidRPr="00000000">
        <w:rPr>
          <w:rFonts w:ascii="Google Sans" w:cs="Google Sans" w:eastAsia="Google Sans" w:hAnsi="Google Sans"/>
          <w:color w:val="1f1f1f"/>
          <w:rtl w:val="0"/>
        </w:rPr>
        <w:t xml:space="preserve">. Each paragraph begins with a "Key Finding" or the "Bottom Line Up Front" (BLUF), followed by evidence and context.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ensures that the reader gains value even if they only skim the document. Furthermore, the report must maintain </w:t>
      </w:r>
      <w:r w:rsidDel="00000000" w:rsidR="00000000" w:rsidRPr="00000000">
        <w:rPr>
          <w:rFonts w:ascii="Google Sans" w:cs="Google Sans" w:eastAsia="Google Sans" w:hAnsi="Google Sans"/>
          <w:b w:val="1"/>
          <w:bCs w:val="1"/>
          <w:color w:val="1f1f1f"/>
          <w:rtl w:val="0"/>
        </w:rPr>
        <w:t xml:space="preserve">Rhetorical Architecture</w:t>
      </w:r>
      <w:r w:rsidDel="00000000" w:rsidR="00000000" w:rsidRPr="00000000">
        <w:rPr>
          <w:rFonts w:ascii="Google Sans" w:cs="Google Sans" w:eastAsia="Google Sans" w:hAnsi="Google Sans"/>
          <w:color w:val="1f1f1f"/>
          <w:rtl w:val="0"/>
        </w:rPr>
        <w:t xml:space="preserve">—a stable set of narrative patterns (Crisis, Funnel, or Arc) that guide the reader's understanding.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Rationale (The "So What" Layer)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avoid "shallow work," the engine must provide a </w:t>
      </w:r>
      <w:r w:rsidDel="00000000" w:rsidR="00000000" w:rsidRPr="00000000">
        <w:rPr>
          <w:rFonts w:ascii="Google Sans" w:cs="Google Sans" w:eastAsia="Google Sans" w:hAnsi="Google Sans"/>
          <w:b w:val="1"/>
          <w:bCs w:val="1"/>
          <w:color w:val="1f1f1f"/>
          <w:rtl w:val="0"/>
        </w:rPr>
        <w:t xml:space="preserve">Strategy Rationale</w:t>
      </w:r>
      <w:r w:rsidDel="00000000" w:rsidR="00000000" w:rsidRPr="00000000">
        <w:rPr>
          <w:rFonts w:ascii="Google Sans" w:cs="Google Sans" w:eastAsia="Google Sans" w:hAnsi="Google Sans"/>
          <w:color w:val="1f1f1f"/>
          <w:rtl w:val="0"/>
        </w:rPr>
        <w:t xml:space="preserve"> for every recommendation. This involves citing specific regional tailwinds, competitive gaps, or resource constraints.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must ask: "What are the 5–7 non-obvious takeaways that change the user's decision?".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"Anti-Slop" Verification Criteria</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Criterion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Differentiator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Fact vs. Inference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Must explicitly distinguish established data from analytical judgment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Prevents hallucinations from being presented as fact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Edge Case Detection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Must identify risks such as "race conditions" or "PII exposure"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Goes beyond "happy-path" logic of generic summaries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Rationale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Must explain </w:t>
            </w:r>
            <w:r w:rsidDel="00000000" w:rsidR="00000000" w:rsidRPr="00000000">
              <w:rPr>
                <w:rFonts w:ascii="Google Sans" w:cs="Google Sans" w:eastAsia="Google Sans" w:hAnsi="Google Sans"/>
                <w:i w:val="1"/>
                <w:iCs w:val="1"/>
                <w:color w:val="1f1f1f"/>
                <w:shd w:fill="auto" w:val="clear"/>
                <w:rtl w:val="0"/>
              </w:rPr>
              <w:t xml:space="preserve">why</w:t>
            </w:r>
            <w:r w:rsidDel="00000000" w:rsidR="00000000" w:rsidRPr="00000000">
              <w:rPr>
                <w:rFonts w:ascii="Google Sans" w:cs="Google Sans" w:eastAsia="Google Sans" w:hAnsi="Google Sans"/>
                <w:color w:val="1f1f1f"/>
                <w:shd w:fill="auto" w:val="clear"/>
                <w:rtl w:val="0"/>
              </w:rPr>
              <w:t xml:space="preserve"> a specific source is used and its credibility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Surfaces the "unconscious frame of reference" of data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Contradiction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Must explicitly flag and explain conflicting data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Demonstrates intellectual honesty and rigor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6 — Validator / Rubric Design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Automated rejection of shallow work requires a validator system that correlates strongly with human judgment. The </w:t>
      </w:r>
      <w:r w:rsidDel="00000000" w:rsidR="00000000" w:rsidRPr="00000000">
        <w:rPr>
          <w:rFonts w:ascii="Google Sans" w:cs="Google Sans" w:eastAsia="Google Sans" w:hAnsi="Google Sans"/>
          <w:b w:val="1"/>
          <w:bCs w:val="1"/>
          <w:color w:val="1f1f1f"/>
          <w:rtl w:val="0"/>
        </w:rPr>
        <w:t xml:space="preserve">Deep-Research Eval</w:t>
      </w:r>
      <w:r w:rsidDel="00000000" w:rsidR="00000000" w:rsidRPr="00000000">
        <w:rPr>
          <w:rFonts w:ascii="Google Sans" w:cs="Google Sans" w:eastAsia="Google Sans" w:hAnsi="Google Sans"/>
          <w:color w:val="1f1f1f"/>
          <w:rtl w:val="0"/>
        </w:rPr>
        <w:t xml:space="preserve"> framework provides such a standard, achieving a Composite Consistency Index (CCI) of 0.7585.</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Paged-RAG and Factual Verification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retrieval often fails in long documents due to "attention dilution." Elite validators use </w:t>
      </w:r>
      <w:r w:rsidDel="00000000" w:rsidR="00000000" w:rsidRPr="00000000">
        <w:rPr>
          <w:rFonts w:ascii="Google Sans" w:cs="Google Sans" w:eastAsia="Google Sans" w:hAnsi="Google Sans"/>
          <w:b w:val="1"/>
          <w:bCs w:val="1"/>
          <w:color w:val="1f1f1f"/>
          <w:rtl w:val="0"/>
        </w:rPr>
        <w:t xml:space="preserve">Paged-RAG</w:t>
      </w:r>
      <w:r w:rsidDel="00000000" w:rsidR="00000000" w:rsidRPr="00000000">
        <w:rPr>
          <w:rFonts w:ascii="Google Sans" w:cs="Google Sans" w:eastAsia="Google Sans" w:hAnsi="Google Sans"/>
          <w:color w:val="1f1f1f"/>
          <w:rtl w:val="0"/>
        </w:rPr>
        <w:t xml:space="preserve">, which standardizes the "page" as the basic unit of evaluation.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allows for:</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Fine-Level Error Location:</w:t>
      </w:r>
      <w:r w:rsidDel="00000000" w:rsidR="00000000" w:rsidRPr="00000000">
        <w:rPr>
          <w:rFonts w:ascii="Google Sans" w:cs="Google Sans" w:eastAsia="Google Sans" w:hAnsi="Google Sans"/>
          <w:color w:val="1f1f1f"/>
          <w:rtl w:val="0"/>
        </w:rPr>
        <w:t xml:space="preserve"> Identifying mistakes at the page or assertion level rather than just a general "hallucination" flag.</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Constructible Reference Databases:</w:t>
      </w:r>
      <w:r w:rsidDel="00000000" w:rsidR="00000000" w:rsidRPr="00000000">
        <w:rPr>
          <w:rFonts w:ascii="Google Sans" w:cs="Google Sans" w:eastAsia="Google Sans" w:hAnsi="Google Sans"/>
          <w:color w:val="1f1f1f"/>
          <w:rtl w:val="0"/>
        </w:rPr>
        <w:t xml:space="preserve"> Verifying facts against a specifically built knowledge base of ground-truth evidence.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G-Eval and Human-Like Accuracy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G-Eval</w:t>
      </w:r>
      <w:r w:rsidDel="00000000" w:rsidR="00000000" w:rsidRPr="00000000">
        <w:rPr>
          <w:rFonts w:ascii="Google Sans" w:cs="Google Sans" w:eastAsia="Google Sans" w:hAnsi="Google Sans"/>
          <w:color w:val="1f1f1f"/>
          <w:rtl w:val="0"/>
        </w:rPr>
        <w:t xml:space="preserve"> uses LLM-as-a-judge with chain-of-thought (CoT) prompting to score outputs across four dimensions: fluency, coherence, consistency, and relevance.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An elite engine uses G-Eval to output numeric results that allow for objective comparison between draft iterations.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QAG (Question-Answer-Generation) Scoring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QAG Scorer is the gold standard for RAG metrics. It involves:</w:t>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Claim Extraction:</w:t>
      </w:r>
      <w:r w:rsidDel="00000000" w:rsidR="00000000" w:rsidRPr="00000000">
        <w:rPr>
          <w:rFonts w:ascii="Google Sans" w:cs="Google Sans" w:eastAsia="Google Sans" w:hAnsi="Google Sans"/>
          <w:color w:val="1f1f1f"/>
          <w:rtl w:val="0"/>
        </w:rPr>
        <w:t xml:space="preserve"> Using an LLM to identify all individual claims in the output.</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Agreement Check:</w:t>
      </w:r>
      <w:r w:rsidDel="00000000" w:rsidR="00000000" w:rsidRPr="00000000">
        <w:rPr>
          <w:rFonts w:ascii="Google Sans" w:cs="Google Sans" w:eastAsia="Google Sans" w:hAnsi="Google Sans"/>
          <w:color w:val="1f1f1f"/>
          <w:rtl w:val="0"/>
        </w:rPr>
        <w:t xml:space="preserve"> For each claim, checking if it agrees or contradicts with the retrieval context.</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Truthfulness Metric:</w:t>
      </w:r>
      <w:r w:rsidDel="00000000" w:rsidR="00000000" w:rsidRPr="00000000">
        <w:rPr>
          <w:rFonts w:ascii="Google Sans" w:cs="Google Sans" w:eastAsia="Google Sans" w:hAnsi="Google Sans"/>
          <w:color w:val="1f1f1f"/>
          <w:rtl w:val="0"/>
        </w:rPr>
        <w:t xml:space="preserve"> Calculating the ratio of truthful claims ('yes' and 'idk') to total claims made.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7 — Optimal Research Loop</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research process should be envisioned as an iterative, agentic cycle that moves from framing to defense.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Framing and Planning</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mission begins with </w:t>
      </w:r>
      <w:r w:rsidDel="00000000" w:rsidR="00000000" w:rsidRPr="00000000">
        <w:rPr>
          <w:rFonts w:ascii="Google Sans" w:cs="Google Sans" w:eastAsia="Google Sans" w:hAnsi="Google Sans"/>
          <w:b w:val="1"/>
          <w:bCs w:val="1"/>
          <w:color w:val="1f1f1f"/>
          <w:rtl w:val="0"/>
        </w:rPr>
        <w:t xml:space="preserve">Issue Redefinition</w:t>
      </w:r>
      <w:r w:rsidDel="00000000" w:rsidR="00000000" w:rsidRPr="00000000">
        <w:rPr>
          <w:rFonts w:ascii="Google Sans" w:cs="Google Sans" w:eastAsia="Google Sans" w:hAnsi="Google Sans"/>
          <w:color w:val="1f1f1f"/>
          <w:rtl w:val="0"/>
        </w:rPr>
        <w:t xml:space="preserve">. The system must take the user's initial query and turn it into a SMART question.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During this phase, the engine identifies the "Customer Checklist" and sets the "Criteria for Success".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Scouting and Harvesting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 deploys a </w:t>
      </w:r>
      <w:r w:rsidDel="00000000" w:rsidR="00000000" w:rsidRPr="00000000">
        <w:rPr>
          <w:rFonts w:ascii="Google Sans" w:cs="Google Sans" w:eastAsia="Google Sans" w:hAnsi="Google Sans"/>
          <w:b w:val="1"/>
          <w:bCs w:val="1"/>
          <w:color w:val="1f1f1f"/>
          <w:rtl w:val="0"/>
        </w:rPr>
        <w:t xml:space="preserve">Scouting</w:t>
      </w:r>
      <w:r w:rsidDel="00000000" w:rsidR="00000000" w:rsidRPr="00000000">
        <w:rPr>
          <w:rFonts w:ascii="Google Sans" w:cs="Google Sans" w:eastAsia="Google Sans" w:hAnsi="Google Sans"/>
          <w:color w:val="1f1f1f"/>
          <w:rtl w:val="0"/>
        </w:rPr>
        <w:t xml:space="preserve"> agent to identify key sources and a </w:t>
      </w:r>
      <w:r w:rsidDel="00000000" w:rsidR="00000000" w:rsidRPr="00000000">
        <w:rPr>
          <w:rFonts w:ascii="Google Sans" w:cs="Google Sans" w:eastAsia="Google Sans" w:hAnsi="Google Sans"/>
          <w:b w:val="1"/>
          <w:bCs w:val="1"/>
          <w:color w:val="1f1f1f"/>
          <w:rtl w:val="0"/>
        </w:rPr>
        <w:t xml:space="preserve">Researcher</w:t>
      </w:r>
      <w:r w:rsidDel="00000000" w:rsidR="00000000" w:rsidRPr="00000000">
        <w:rPr>
          <w:rFonts w:ascii="Google Sans" w:cs="Google Sans" w:eastAsia="Google Sans" w:hAnsi="Google Sans"/>
          <w:color w:val="1f1f1f"/>
          <w:rtl w:val="0"/>
        </w:rPr>
        <w:t xml:space="preserve"> agent to gather data.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involves:</w:t>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Source Mapping:</w:t>
      </w:r>
      <w:r w:rsidDel="00000000" w:rsidR="00000000" w:rsidRPr="00000000">
        <w:rPr>
          <w:rFonts w:ascii="Google Sans" w:cs="Google Sans" w:eastAsia="Google Sans" w:hAnsi="Google Sans"/>
          <w:color w:val="1f1f1f"/>
          <w:rtl w:val="0"/>
        </w:rPr>
        <w:t xml:space="preserve"> Mapping the relationship between actors.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Evidence Ledger Entry:</w:t>
      </w:r>
      <w:r w:rsidDel="00000000" w:rsidR="00000000" w:rsidRPr="00000000">
        <w:rPr>
          <w:rFonts w:ascii="Google Sans" w:cs="Google Sans" w:eastAsia="Google Sans" w:hAnsi="Google Sans"/>
          <w:color w:val="1f1f1f"/>
          <w:rtl w:val="0"/>
        </w:rPr>
        <w:t xml:space="preserve"> Every piece of data is hashed and entered into the ledger with temporal metadata.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Analysis and Stress-Testing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most critical differentiator. The engine does not move directly to drafting. Instead, it performs:</w:t>
      </w:r>
    </w:p>
    <w:p w:rsidR="00000000" w:rsidDel="00000000" w:rsidP="00000000" w:rsidRDefault="00000000" w:rsidRPr="00000000" w14:paraId="0000008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Analysis of Competing Hypotheses (ACH):</w:t>
      </w:r>
      <w:r w:rsidDel="00000000" w:rsidR="00000000" w:rsidRPr="00000000">
        <w:rPr>
          <w:rFonts w:ascii="Google Sans" w:cs="Google Sans" w:eastAsia="Google Sans" w:hAnsi="Google Sans"/>
          <w:color w:val="1f1f1f"/>
          <w:rtl w:val="0"/>
        </w:rPr>
        <w:t xml:space="preserve"> Systematically comparing evidence against alternative explanations.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2">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Red Teaming / Devil's Advocacy:</w:t>
      </w:r>
      <w:r w:rsidDel="00000000" w:rsidR="00000000" w:rsidRPr="00000000">
        <w:rPr>
          <w:rFonts w:ascii="Google Sans" w:cs="Google Sans" w:eastAsia="Google Sans" w:hAnsi="Google Sans"/>
          <w:color w:val="1f1f1f"/>
          <w:rtl w:val="0"/>
        </w:rPr>
        <w:t xml:space="preserve"> Building the best possible case for an alternative explanation to expose assumptions.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Drafting and Synthesis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Writer</w:t>
      </w:r>
      <w:r w:rsidDel="00000000" w:rsidR="00000000" w:rsidRPr="00000000">
        <w:rPr>
          <w:rFonts w:ascii="Google Sans" w:cs="Google Sans" w:eastAsia="Google Sans" w:hAnsi="Google Sans"/>
          <w:color w:val="1f1f1f"/>
          <w:rtl w:val="0"/>
        </w:rPr>
        <w:t xml:space="preserve"> agent composes the artifact using the </w:t>
      </w:r>
      <w:r w:rsidDel="00000000" w:rsidR="00000000" w:rsidRPr="00000000">
        <w:rPr>
          <w:rFonts w:ascii="Google Sans" w:cs="Google Sans" w:eastAsia="Google Sans" w:hAnsi="Google Sans"/>
          <w:b w:val="1"/>
          <w:bCs w:val="1"/>
          <w:color w:val="1f1f1f"/>
          <w:rtl w:val="0"/>
        </w:rPr>
        <w:t xml:space="preserve">Minto Pyramid Principle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engine must ensure </w:t>
      </w:r>
      <w:r w:rsidDel="00000000" w:rsidR="00000000" w:rsidRPr="00000000">
        <w:rPr>
          <w:rFonts w:ascii="Google Sans" w:cs="Google Sans" w:eastAsia="Google Sans" w:hAnsi="Google Sans"/>
          <w:b w:val="1"/>
          <w:bCs w:val="1"/>
          <w:color w:val="1f1f1f"/>
          <w:rtl w:val="0"/>
        </w:rPr>
        <w:t xml:space="preserve">Rhetorical Pacing</w:t>
      </w:r>
      <w:r w:rsidDel="00000000" w:rsidR="00000000" w:rsidRPr="00000000">
        <w:rPr>
          <w:rFonts w:ascii="Google Sans" w:cs="Google Sans" w:eastAsia="Google Sans" w:hAnsi="Google Sans"/>
          <w:color w:val="1f1f1f"/>
          <w:rtl w:val="0"/>
        </w:rPr>
        <w:t xml:space="preserve">, moving from macro statistics to micro human-interest stories to ensure the document is "alive".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 Validation and Writeback</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draft is sent to the </w:t>
      </w:r>
      <w:r w:rsidDel="00000000" w:rsidR="00000000" w:rsidRPr="00000000">
        <w:rPr>
          <w:rFonts w:ascii="Google Sans" w:cs="Google Sans" w:eastAsia="Google Sans" w:hAnsi="Google Sans"/>
          <w:b w:val="1"/>
          <w:bCs w:val="1"/>
          <w:color w:val="1f1f1f"/>
          <w:rtl w:val="0"/>
        </w:rPr>
        <w:t xml:space="preserve">Validator</w:t>
      </w:r>
      <w:r w:rsidDel="00000000" w:rsidR="00000000" w:rsidRPr="00000000">
        <w:rPr>
          <w:rFonts w:ascii="Google Sans" w:cs="Google Sans" w:eastAsia="Google Sans" w:hAnsi="Google Sans"/>
          <w:color w:val="1f1f1f"/>
          <w:rtl w:val="0"/>
        </w:rPr>
        <w:t xml:space="preserve"> (using G-Eval and Paged-RAG). If it fails to meet the threshold (e.g., a CCI &lt; 0.7), it is sent back to the scouting phase to fill identified gaps.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Once validated, the system performs a </w:t>
      </w:r>
      <w:r w:rsidDel="00000000" w:rsidR="00000000" w:rsidRPr="00000000">
        <w:rPr>
          <w:rFonts w:ascii="Google Sans" w:cs="Google Sans" w:eastAsia="Google Sans" w:hAnsi="Google Sans"/>
          <w:b w:val="1"/>
          <w:bCs w:val="1"/>
          <w:color w:val="1f1f1f"/>
          <w:rtl w:val="0"/>
        </w:rPr>
        <w:t xml:space="preserve">Writeback</w:t>
      </w:r>
      <w:r w:rsidDel="00000000" w:rsidR="00000000" w:rsidRPr="00000000">
        <w:rPr>
          <w:rFonts w:ascii="Google Sans" w:cs="Google Sans" w:eastAsia="Google Sans" w:hAnsi="Google Sans"/>
          <w:color w:val="1f1f1f"/>
          <w:rtl w:val="0"/>
        </w:rPr>
        <w:t xml:space="preserve">, updating the Evidence Ledger and the final dossier.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8 — Tool / Provider Strategy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"optimal" system must be multi-model and multi-provider to balance cost, latency, and reasoning capability.</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Intelligent Model Routing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engine should use a router like </w:t>
      </w:r>
      <w:r w:rsidDel="00000000" w:rsidR="00000000" w:rsidRPr="00000000">
        <w:rPr>
          <w:rFonts w:ascii="Google Sans" w:cs="Google Sans" w:eastAsia="Google Sans" w:hAnsi="Google Sans"/>
          <w:b w:val="1"/>
          <w:bCs w:val="1"/>
          <w:color w:val="1f1f1f"/>
          <w:rtl w:val="0"/>
        </w:rPr>
        <w:t xml:space="preserve">Bifrost</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LiteLLM</w:t>
      </w:r>
      <w:r w:rsidDel="00000000" w:rsidR="00000000" w:rsidRPr="00000000">
        <w:rPr>
          <w:rFonts w:ascii="Google Sans" w:cs="Google Sans" w:eastAsia="Google Sans" w:hAnsi="Google Sans"/>
          <w:color w:val="1f1f1f"/>
          <w:rtl w:val="0"/>
        </w:rPr>
        <w:t xml:space="preserve"> to manage the execution of research tasks.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Routing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Cascading Routing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Start with a cheap, fast model (e.g., Claude 3.5 Haiku) and escalate to a premium model (e.g., GPT-4o) only if quality gates fail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Reduces infrastructure costs by 30-85% without compromising accuracy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Semantic Routing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Uses embedding-based similarity to route queries based on intent (e.g., legal, medical, coding)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the model with the highest domain expertise is used for specific sub-tasks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Cost-Aware Selection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Jointly selects the best LLM and an "output length budget"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Allows powerful models to be used for short, high-reasoning tasks at a reduced cost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Load Balancing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Distributes requests across providers and API keys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Prevents single points of failure and manages rate limits during "aggressive" hunting missions </w:t>
            </w:r>
            <w:r w:rsidDel="00000000" w:rsidR="00000000" w:rsidRPr="00000000">
              <w:rPr>
                <w:rFonts w:ascii="Google Sans" w:cs="Google Sans" w:eastAsia="Google Sans" w:hAnsi="Google Sans"/>
                <w:color w:val="444746"/>
                <w:sz w:val="24"/>
                <w:szCs w:val="24"/>
                <w:vertAlign w:val="superscript"/>
                <w:rtl w:val="0"/>
              </w:rPr>
              <w:t xml:space="preserve">27</w:t>
            </w:r>
          </w:p>
        </w:tc>
      </w:tr>
    </w:tbl>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Provider Patterns</w:t>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Fetch-First:</w:t>
      </w:r>
      <w:r w:rsidDel="00000000" w:rsidR="00000000" w:rsidRPr="00000000">
        <w:rPr>
          <w:rFonts w:ascii="Google Sans" w:cs="Google Sans" w:eastAsia="Google Sans" w:hAnsi="Google Sans"/>
          <w:color w:val="1f1f1f"/>
          <w:rtl w:val="0"/>
        </w:rPr>
        <w:t xml:space="preserve"> Priority should be given to direct scraping and fetching of primary documents (PDFs, transcripts, court records) over search engine snippets.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Archives and Morgues:</w:t>
      </w:r>
      <w:r w:rsidDel="00000000" w:rsidR="00000000" w:rsidRPr="00000000">
        <w:rPr>
          <w:rFonts w:ascii="Google Sans" w:cs="Google Sans" w:eastAsia="Google Sans" w:hAnsi="Google Sans"/>
          <w:color w:val="1f1f1f"/>
          <w:rtl w:val="0"/>
        </w:rPr>
        <w:t xml:space="preserve"> The system must hit story archives and "Who’s Who" directories first to understand the existing record before searching for new developments.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Source Diversity:</w:t>
      </w:r>
      <w:r w:rsidDel="00000000" w:rsidR="00000000" w:rsidRPr="00000000">
        <w:rPr>
          <w:rFonts w:ascii="Google Sans" w:cs="Google Sans" w:eastAsia="Google Sans" w:hAnsi="Google Sans"/>
          <w:color w:val="1f1f1f"/>
          <w:rtl w:val="0"/>
        </w:rPr>
        <w:t xml:space="preserve"> Breadth search should cover online credit-header services, voter records, property deeds, and SEC filings to build a comprehensive "person dossier".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9 — Writing / Rhetorical Power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produce powerful human-first documents, an engine must learn the rhetorical techniques of investigative reporters and high-end management consultants.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Narrative Archetypes</w:t>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Macro-to-Micro Funnel:</w:t>
      </w:r>
      <w:r w:rsidDel="00000000" w:rsidR="00000000" w:rsidRPr="00000000">
        <w:rPr>
          <w:rFonts w:ascii="Google Sans" w:cs="Google Sans" w:eastAsia="Google Sans" w:hAnsi="Google Sans"/>
          <w:color w:val="1f1f1f"/>
          <w:rtl w:val="0"/>
        </w:rPr>
        <w:t xml:space="preserve"> Starts with a large-scale statistic (Macro) and funnels down to a specific human story (Micro). This makes abstract issues relatable and emotionally resonant.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Investigative Arc:</w:t>
      </w:r>
      <w:r w:rsidDel="00000000" w:rsidR="00000000" w:rsidRPr="00000000">
        <w:rPr>
          <w:rFonts w:ascii="Google Sans" w:cs="Google Sans" w:eastAsia="Google Sans" w:hAnsi="Google Sans"/>
          <w:color w:val="1f1f1f"/>
          <w:rtl w:val="0"/>
        </w:rPr>
        <w:t xml:space="preserve"> Frames the report as a puzzle to be solved. It starts with a central question or "grim discovery" and proceeds to reveal clues, focusing on the "how" and "why".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Unfolding Crisis:</w:t>
      </w:r>
      <w:r w:rsidDel="00000000" w:rsidR="00000000" w:rsidRPr="00000000">
        <w:rPr>
          <w:rFonts w:ascii="Google Sans" w:cs="Google Sans" w:eastAsia="Google Sans" w:hAnsi="Google Sans"/>
          <w:color w:val="1f1f1f"/>
          <w:rtl w:val="0"/>
        </w:rPr>
        <w:t xml:space="preserve"> engineered for breaking news or high-stakes developments, creating a sense of immediacy and unresolved threat to keep the reader engaged.</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Architecture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 should adopt the </w:t>
      </w:r>
      <w:r w:rsidDel="00000000" w:rsidR="00000000" w:rsidRPr="00000000">
        <w:rPr>
          <w:rFonts w:ascii="Google Sans" w:cs="Google Sans" w:eastAsia="Google Sans" w:hAnsi="Google Sans"/>
          <w:b w:val="1"/>
          <w:bCs w:val="1"/>
          <w:color w:val="1f1f1f"/>
          <w:rtl w:val="0"/>
        </w:rPr>
        <w:t xml:space="preserve">McKinsey SCR</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Minto Pyramid</w:t>
      </w:r>
      <w:r w:rsidDel="00000000" w:rsidR="00000000" w:rsidRPr="00000000">
        <w:rPr>
          <w:rFonts w:ascii="Google Sans" w:cs="Google Sans" w:eastAsia="Google Sans" w:hAnsi="Google Sans"/>
          <w:color w:val="1f1f1f"/>
          <w:rtl w:val="0"/>
        </w:rPr>
        <w:t xml:space="preserve"> structures to ensure intellectual clarity.</w:t>
      </w:r>
    </w:p>
    <w:p w:rsidR="00000000" w:rsidDel="00000000" w:rsidP="00000000" w:rsidRDefault="00000000" w:rsidRPr="00000000" w14:paraId="000000A7">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Situation (S):</w:t>
      </w:r>
      <w:r w:rsidDel="00000000" w:rsidR="00000000" w:rsidRPr="00000000">
        <w:rPr>
          <w:rFonts w:ascii="Google Sans" w:cs="Google Sans" w:eastAsia="Google Sans" w:hAnsi="Google Sans"/>
          <w:color w:val="1f1f1f"/>
          <w:rtl w:val="0"/>
        </w:rPr>
        <w:t xml:space="preserve"> Establish the current, uncontested context.</w:t>
      </w:r>
    </w:p>
    <w:p w:rsidR="00000000" w:rsidDel="00000000" w:rsidP="00000000" w:rsidRDefault="00000000" w:rsidRPr="00000000" w14:paraId="000000A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Complication (C):</w:t>
      </w:r>
      <w:r w:rsidDel="00000000" w:rsidR="00000000" w:rsidRPr="00000000">
        <w:rPr>
          <w:rFonts w:ascii="Google Sans" w:cs="Google Sans" w:eastAsia="Google Sans" w:hAnsi="Google Sans"/>
          <w:color w:val="1f1f1f"/>
          <w:rtl w:val="0"/>
        </w:rPr>
        <w:t xml:space="preserve"> Identify the problem or change that requires action. This is where the engine surfaces contradictions or emerging threats.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A9">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Resolution (R):</w:t>
      </w:r>
      <w:r w:rsidDel="00000000" w:rsidR="00000000" w:rsidRPr="00000000">
        <w:rPr>
          <w:rFonts w:ascii="Google Sans" w:cs="Google Sans" w:eastAsia="Google Sans" w:hAnsi="Google Sans"/>
          <w:color w:val="1f1f1f"/>
          <w:rtl w:val="0"/>
        </w:rPr>
        <w:t xml:space="preserve"> Deliver a clear, logical path forward.</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72.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"ecosystem of understanding" is built by including </w:t>
      </w:r>
      <w:r w:rsidDel="00000000" w:rsidR="00000000" w:rsidRPr="00000000">
        <w:rPr>
          <w:rFonts w:ascii="Google Sans" w:cs="Google Sans" w:eastAsia="Google Sans" w:hAnsi="Google Sans"/>
          <w:b w:val="1"/>
          <w:bCs w:val="1"/>
          <w:color w:val="1f1f1f"/>
          <w:rtl w:val="0"/>
        </w:rPr>
        <w:t xml:space="preserve">B-Plots</w:t>
      </w:r>
      <w:r w:rsidDel="00000000" w:rsidR="00000000" w:rsidRPr="00000000">
        <w:rPr>
          <w:rFonts w:ascii="Google Sans" w:cs="Google Sans" w:eastAsia="Google Sans" w:hAnsi="Google Sans"/>
          <w:color w:val="1f1f1f"/>
          <w:rtl w:val="0"/>
        </w:rPr>
        <w:t xml:space="preserve">—trivial or quirky details about powerful figures that humanize the narrative and provide character context.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10 — Recommended System Design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optimal elite research engine is a </w:t>
      </w:r>
      <w:r w:rsidDel="00000000" w:rsidR="00000000" w:rsidRPr="00000000">
        <w:rPr>
          <w:rFonts w:ascii="Google Sans" w:cs="Google Sans" w:eastAsia="Google Sans" w:hAnsi="Google Sans"/>
          <w:b w:val="1"/>
          <w:bCs w:val="1"/>
          <w:color w:val="1f1f1f"/>
          <w:rtl w:val="0"/>
        </w:rPr>
        <w:t xml:space="preserve">Hierarchical Agentic Workflow</w:t>
      </w:r>
      <w:r w:rsidDel="00000000" w:rsidR="00000000" w:rsidRPr="00000000">
        <w:rPr>
          <w:rFonts w:ascii="Google Sans" w:cs="Google Sans" w:eastAsia="Google Sans" w:hAnsi="Google Sans"/>
          <w:color w:val="1f1f1f"/>
          <w:rtl w:val="0"/>
        </w:rPr>
        <w:t xml:space="preserve"> that separates the concept layer from the evidence layer.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Layers of the Engine</w:t>
      </w:r>
    </w:p>
    <w:p w:rsidR="00000000" w:rsidDel="00000000" w:rsidP="00000000" w:rsidRDefault="00000000" w:rsidRPr="00000000" w14:paraId="000000AE">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Sensory Layer (Scouting):</w:t>
      </w:r>
      <w:r w:rsidDel="00000000" w:rsidR="00000000" w:rsidRPr="00000000">
        <w:rPr>
          <w:rFonts w:ascii="Google Sans" w:cs="Google Sans" w:eastAsia="Google Sans" w:hAnsi="Google Sans"/>
          <w:color w:val="1f1f1f"/>
          <w:rtl w:val="0"/>
        </w:rPr>
        <w:t xml:space="preserve"> Uses diverse providers and "fetch-first" patterns to harvest primary data. It builds a </w:t>
      </w:r>
      <w:r w:rsidDel="00000000" w:rsidR="00000000" w:rsidRPr="00000000">
        <w:rPr>
          <w:rFonts w:ascii="Google Sans" w:cs="Google Sans" w:eastAsia="Google Sans" w:hAnsi="Google Sans"/>
          <w:b w:val="1"/>
          <w:bCs w:val="1"/>
          <w:color w:val="1f1f1f"/>
          <w:rtl w:val="0"/>
        </w:rPr>
        <w:t xml:space="preserve">Source Map</w:t>
      </w:r>
      <w:r w:rsidDel="00000000" w:rsidR="00000000" w:rsidRPr="00000000">
        <w:rPr>
          <w:rFonts w:ascii="Google Sans" w:cs="Google Sans" w:eastAsia="Google Sans" w:hAnsi="Google Sans"/>
          <w:color w:val="1f1f1f"/>
          <w:rtl w:val="0"/>
        </w:rPr>
        <w:t xml:space="preserve"> and populates the </w:t>
      </w:r>
      <w:r w:rsidDel="00000000" w:rsidR="00000000" w:rsidRPr="00000000">
        <w:rPr>
          <w:rFonts w:ascii="Google Sans" w:cs="Google Sans" w:eastAsia="Google Sans" w:hAnsi="Google Sans"/>
          <w:b w:val="1"/>
          <w:bCs w:val="1"/>
          <w:color w:val="1f1f1f"/>
          <w:rtl w:val="0"/>
        </w:rPr>
        <w:t xml:space="preserve">Master Chronology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Memory Layer (Evidence Ledger):</w:t>
      </w:r>
      <w:r w:rsidDel="00000000" w:rsidR="00000000" w:rsidRPr="00000000">
        <w:rPr>
          <w:rFonts w:ascii="Google Sans" w:cs="Google Sans" w:eastAsia="Google Sans" w:hAnsi="Google Sans"/>
          <w:color w:val="1f1f1f"/>
          <w:rtl w:val="0"/>
        </w:rPr>
        <w:t xml:space="preserve"> A symbolic assertion layer that enforces immutability and deterministic identity. It uses SHA-256 evidence hashing for audit verification.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Analytic Layer (ACH/Red-Teaming):</w:t>
      </w:r>
      <w:r w:rsidDel="00000000" w:rsidR="00000000" w:rsidRPr="00000000">
        <w:rPr>
          <w:rFonts w:ascii="Google Sans" w:cs="Google Sans" w:eastAsia="Google Sans" w:hAnsi="Google Sans"/>
          <w:color w:val="1f1f1f"/>
          <w:rtl w:val="0"/>
        </w:rPr>
        <w:t xml:space="preserve"> A non-generative reasoning module that applies clinical-logic (or domain-logic) rules to flag contradictions and evaluate evidence quality.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Narrative Layer (Synthesis):</w:t>
      </w:r>
      <w:r w:rsidDel="00000000" w:rsidR="00000000" w:rsidRPr="00000000">
        <w:rPr>
          <w:rFonts w:ascii="Google Sans" w:cs="Google Sans" w:eastAsia="Google Sans" w:hAnsi="Google Sans"/>
          <w:color w:val="1f1f1f"/>
          <w:rtl w:val="0"/>
        </w:rPr>
        <w:t xml:space="preserve"> An LLM-based writing agent trained in the </w:t>
      </w:r>
      <w:r w:rsidDel="00000000" w:rsidR="00000000" w:rsidRPr="00000000">
        <w:rPr>
          <w:rFonts w:ascii="Google Sans" w:cs="Google Sans" w:eastAsia="Google Sans" w:hAnsi="Google Sans"/>
          <w:b w:val="1"/>
          <w:bCs w:val="1"/>
          <w:color w:val="1f1f1f"/>
          <w:rtl w:val="0"/>
        </w:rPr>
        <w:t xml:space="preserve">Minto Pyramid</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Investigative Arc</w:t>
      </w:r>
      <w:r w:rsidDel="00000000" w:rsidR="00000000" w:rsidRPr="00000000">
        <w:rPr>
          <w:rFonts w:ascii="Google Sans" w:cs="Google Sans" w:eastAsia="Google Sans" w:hAnsi="Google Sans"/>
          <w:color w:val="1f1f1f"/>
          <w:rtl w:val="0"/>
        </w:rPr>
        <w:t xml:space="preserve"> rhetorical patterns. It produces the final dossier-grade output.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B2">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Validator Layer (G-Eval/Paged-RAG):</w:t>
      </w:r>
      <w:r w:rsidDel="00000000" w:rsidR="00000000" w:rsidRPr="00000000">
        <w:rPr>
          <w:rFonts w:ascii="Google Sans" w:cs="Google Sans" w:eastAsia="Google Sans" w:hAnsi="Google Sans"/>
          <w:color w:val="1f1f1f"/>
          <w:rtl w:val="0"/>
        </w:rPr>
        <w:t xml:space="preserve"> A final gate that verifies every claim against the Evidence Ledger and rejects work that does not meet the CCI (Consistency) threshold.</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Capabilities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must perform "Time-Travel" audits, utilizing snapshot-pointers to reconstruct the state of knowledge at any point in the investigation.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allows for </w:t>
      </w:r>
      <w:r w:rsidDel="00000000" w:rsidR="00000000" w:rsidRPr="00000000">
        <w:rPr>
          <w:rFonts w:ascii="Google Sans" w:cs="Google Sans" w:eastAsia="Google Sans" w:hAnsi="Google Sans"/>
          <w:b w:val="1"/>
          <w:bCs w:val="1"/>
          <w:color w:val="1f1f1f"/>
          <w:rtl w:val="0"/>
        </w:rPr>
        <w:t xml:space="preserve">Drift Detection</w:t>
      </w:r>
      <w:r w:rsidDel="00000000" w:rsidR="00000000" w:rsidRPr="00000000">
        <w:rPr>
          <w:rFonts w:ascii="Google Sans" w:cs="Google Sans" w:eastAsia="Google Sans" w:hAnsi="Google Sans"/>
          <w:color w:val="1f1f1f"/>
          <w:rtl w:val="0"/>
        </w:rPr>
        <w:t xml:space="preserve">, where the system automatically alerts the user if a previous recommendation has been undermined by new evidence (e.g., a "recommended" treatment becomes "contraindicated").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11 — Immediate Next Moves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operationalize this system, the following steps must be taken:</w:t>
      </w:r>
    </w:p>
    <w:p w:rsidR="00000000" w:rsidDel="00000000" w:rsidP="00000000" w:rsidRDefault="00000000" w:rsidRPr="00000000" w14:paraId="000000B7">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Schema Definition:</w:t>
      </w:r>
      <w:r w:rsidDel="00000000" w:rsidR="00000000" w:rsidRPr="00000000">
        <w:rPr>
          <w:rFonts w:ascii="Google Sans" w:cs="Google Sans" w:eastAsia="Google Sans" w:hAnsi="Google Sans"/>
          <w:color w:val="1f1f1f"/>
          <w:rtl w:val="0"/>
        </w:rPr>
        <w:t xml:space="preserve"> Formalize the Evidence Ledger JSON schema, incorporating the Assertion_ID, Evidence_Hash, and Scope_Tuple fields.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STORM Integration:</w:t>
      </w:r>
      <w:r w:rsidDel="00000000" w:rsidR="00000000" w:rsidRPr="00000000">
        <w:rPr>
          <w:rFonts w:ascii="Google Sans" w:cs="Google Sans" w:eastAsia="Google Sans" w:hAnsi="Google Sans"/>
          <w:color w:val="1f1f1f"/>
          <w:rtl w:val="0"/>
        </w:rPr>
        <w:t xml:space="preserve"> Deploy the outline-first STORM workflow as the default for long-form synthesis to prevent hallucination cascades.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B9">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ACH Implementation:</w:t>
      </w:r>
      <w:r w:rsidDel="00000000" w:rsidR="00000000" w:rsidRPr="00000000">
        <w:rPr>
          <w:rFonts w:ascii="Google Sans" w:cs="Google Sans" w:eastAsia="Google Sans" w:hAnsi="Google Sans"/>
          <w:color w:val="1f1f1f"/>
          <w:rtl w:val="0"/>
        </w:rPr>
        <w:t xml:space="preserve"> Build a matrix-based UI/API for the Analytic Layer that requires the system to check every claim against multiple alternative hypotheses.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Validator Calibration:</w:t>
      </w:r>
      <w:r w:rsidDel="00000000" w:rsidR="00000000" w:rsidRPr="00000000">
        <w:rPr>
          <w:rFonts w:ascii="Google Sans" w:cs="Google Sans" w:eastAsia="Google Sans" w:hAnsi="Google Sans"/>
          <w:color w:val="1f1f1f"/>
          <w:rtl w:val="0"/>
        </w:rPr>
        <w:t xml:space="preserve"> Set up a G-Eval suite with custom rubrics for "Depth," "Strategic Rationale," and "Contradiction Handling".</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BB">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Provider Routing Setup:</w:t>
      </w:r>
      <w:r w:rsidDel="00000000" w:rsidR="00000000" w:rsidRPr="00000000">
        <w:rPr>
          <w:rFonts w:ascii="Google Sans" w:cs="Google Sans" w:eastAsia="Google Sans" w:hAnsi="Google Sans"/>
          <w:color w:val="1f1f1f"/>
          <w:rtl w:val="0"/>
        </w:rPr>
        <w:t xml:space="preserve"> Configure a Bifrost-style router with cascading logic to optimize for cost during scouting and for reasoning during synthesis.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architectural blueprint ensures the construction of a research engine that is not merely "good at searching," but is an elite tool for knowledge production and high-stakes decision support.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Unbreaking AI. Spinning OpenAI's Straw into Gold | by stunspot ..., accessed April 2, 2026, </w:t>
      </w:r>
      <w:hyperlink r:id="rId6">
        <w:r w:rsidDel="00000000" w:rsidR="00000000" w:rsidRPr="00000000">
          <w:rPr>
            <w:rFonts w:ascii="Google Sans" w:cs="Google Sans" w:eastAsia="Google Sans" w:hAnsi="Google Sans"/>
            <w:color w:val="0000ee"/>
            <w:sz w:val="24"/>
            <w:szCs w:val="24"/>
            <w:u w:val="single"/>
            <w:rtl w:val="0"/>
          </w:rPr>
          <w:t xml:space="preserve">https://medium.com/@stunspot/unbreaking-ai-7a61b70219f3</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EviLedger: governing clinical AI with a verifiable evidence ..., accessed April 2, 2026, </w:t>
      </w:r>
      <w:hyperlink r:id="rId7">
        <w:r w:rsidDel="00000000" w:rsidR="00000000" w:rsidRPr="00000000">
          <w:rPr>
            <w:rFonts w:ascii="Google Sans" w:cs="Google Sans" w:eastAsia="Google Sans" w:hAnsi="Google Sans"/>
            <w:color w:val="0000ee"/>
            <w:sz w:val="24"/>
            <w:szCs w:val="24"/>
            <w:u w:val="single"/>
            <w:rtl w:val="0"/>
          </w:rPr>
          <w:t xml:space="preserve">https://www.researchgate.net/publication/400996812_EviLedger_governing_clinical_AI_with_a_verifiable_evidence_ledger</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Story-Based Inquiry: A manual for investigative journalists - CiteSeerX, accessed April 2, 2026, </w:t>
      </w:r>
      <w:hyperlink r:id="rId8">
        <w:r w:rsidDel="00000000" w:rsidR="00000000" w:rsidRPr="00000000">
          <w:rPr>
            <w:rFonts w:ascii="Google Sans" w:cs="Google Sans" w:eastAsia="Google Sans" w:hAnsi="Google Sans"/>
            <w:color w:val="0000ee"/>
            <w:sz w:val="24"/>
            <w:szCs w:val="24"/>
            <w:u w:val="single"/>
            <w:rtl w:val="0"/>
          </w:rPr>
          <w:t xml:space="preserve">https://www.media-diversity.org/additional-files/documents/A%20Guides/A%20manual%20for%20investigative%20journalists%20[EN]%20[FR]/A%20manual%20for%20investigative%20journalists%20[EN].pdf</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Analytic Techniques for Intelligence Analysis - Google Books, accessed April 2, 2026, </w:t>
      </w:r>
      <w:hyperlink r:id="rId9">
        <w:r w:rsidDel="00000000" w:rsidR="00000000" w:rsidRPr="00000000">
          <w:rPr>
            <w:rFonts w:ascii="Google Sans" w:cs="Google Sans" w:eastAsia="Google Sans" w:hAnsi="Google Sans"/>
            <w:color w:val="0000ee"/>
            <w:sz w:val="24"/>
            <w:szCs w:val="24"/>
            <w:u w:val="single"/>
            <w:rtl w:val="0"/>
          </w:rPr>
          <w:t xml:space="preserve">https://books.google.com/books/about/Structured_Analytic_Techniques_for_Intel.html?id=Js1w15Q7X4gC</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Analytic Techniques For Intelligence Analysis by Richards and Randolph - Scribd, accessed April 2, 2026, </w:t>
      </w:r>
      <w:hyperlink r:id="rId10">
        <w:r w:rsidDel="00000000" w:rsidR="00000000" w:rsidRPr="00000000">
          <w:rPr>
            <w:rFonts w:ascii="Google Sans" w:cs="Google Sans" w:eastAsia="Google Sans" w:hAnsi="Google Sans"/>
            <w:color w:val="0000ee"/>
            <w:sz w:val="24"/>
            <w:szCs w:val="24"/>
            <w:u w:val="single"/>
            <w:rtl w:val="0"/>
          </w:rPr>
          <w:t xml:space="preserve">https://www.scribd.com/document/554459164/Structured-Analytic-Techniques-for-Intelligence-Analysis-by-Richards-and-Randolph</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Analytic Techniques For Intelligence Analysis, accessed April 2, 2026, </w:t>
      </w:r>
      <w:hyperlink r:id="rId11">
        <w:r w:rsidDel="00000000" w:rsidR="00000000" w:rsidRPr="00000000">
          <w:rPr>
            <w:rFonts w:ascii="Google Sans" w:cs="Google Sans" w:eastAsia="Google Sans" w:hAnsi="Google Sans"/>
            <w:color w:val="0000ee"/>
            <w:sz w:val="24"/>
            <w:szCs w:val="24"/>
            <w:u w:val="single"/>
            <w:rtl w:val="0"/>
          </w:rPr>
          <w:t xml:space="preserve">https://lan-portal.uob.edu.ly/mirror/PAGE/609AN99291/structured_analytic-techniques_for_intelligence__analysis.pdf</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investigative journalism dossier, accessed April 2, 2026, </w:t>
      </w:r>
      <w:hyperlink r:id="rId12">
        <w:r w:rsidDel="00000000" w:rsidR="00000000" w:rsidRPr="00000000">
          <w:rPr>
            <w:rFonts w:ascii="Google Sans" w:cs="Google Sans" w:eastAsia="Google Sans" w:hAnsi="Google Sans"/>
            <w:color w:val="0000ee"/>
            <w:sz w:val="24"/>
            <w:szCs w:val="24"/>
            <w:u w:val="single"/>
            <w:rtl w:val="0"/>
          </w:rPr>
          <w:t xml:space="preserve">https://mediahelpingmedia.org/investigative/compiling-an-investigative-journalism-dossier/</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storytelling in intelligent analytics systems: from visualization to decision intelligence, accessed April 2, 2026, </w:t>
      </w:r>
      <w:hyperlink r:id="rId13">
        <w:r w:rsidDel="00000000" w:rsidR="00000000" w:rsidRPr="00000000">
          <w:rPr>
            <w:rFonts w:ascii="Google Sans" w:cs="Google Sans" w:eastAsia="Google Sans" w:hAnsi="Google Sans"/>
            <w:color w:val="0000ee"/>
            <w:sz w:val="24"/>
            <w:szCs w:val="24"/>
            <w:u w:val="single"/>
            <w:rtl w:val="0"/>
          </w:rPr>
          <w:t xml:space="preserve">https://www.researchgate.net/publication/402978452_DATA_STORYTELLING_IN_INTELLIGENT_ANALYTICS_SYSTEMS_FROM_VISUALIZATION_TO_DECISION_INTELLIGENCE</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a Policy Memo That Matters, accessed April 2, 2026, </w:t>
      </w:r>
      <w:hyperlink r:id="rId14">
        <w:r w:rsidDel="00000000" w:rsidR="00000000" w:rsidRPr="00000000">
          <w:rPr>
            <w:rFonts w:ascii="Google Sans" w:cs="Google Sans" w:eastAsia="Google Sans" w:hAnsi="Google Sans"/>
            <w:color w:val="0000ee"/>
            <w:sz w:val="24"/>
            <w:szCs w:val="24"/>
            <w:u w:val="single"/>
            <w:rtl w:val="0"/>
          </w:rPr>
          <w:t xml:space="preserve">https://harris.uchicago.edu/files/how_to_write_a_policy_memo_that_matters_0.pdf</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RED TEAM HANDBOOK - U.S. Army, accessed April 2, 2026, </w:t>
      </w:r>
      <w:hyperlink r:id="rId15">
        <w:r w:rsidDel="00000000" w:rsidR="00000000" w:rsidRPr="00000000">
          <w:rPr>
            <w:rFonts w:ascii="Google Sans" w:cs="Google Sans" w:eastAsia="Google Sans" w:hAnsi="Google Sans"/>
            <w:color w:val="0000ee"/>
            <w:sz w:val="24"/>
            <w:szCs w:val="24"/>
            <w:u w:val="single"/>
            <w:rtl w:val="0"/>
          </w:rPr>
          <w:t xml:space="preserve">https://home.army.mil/wood/6115/8222/0759/RedTeamHB.pdf</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STORM - Stanford University, accessed April 2, 2026, </w:t>
      </w:r>
      <w:hyperlink r:id="rId16">
        <w:r w:rsidDel="00000000" w:rsidR="00000000" w:rsidRPr="00000000">
          <w:rPr>
            <w:rFonts w:ascii="Google Sans" w:cs="Google Sans" w:eastAsia="Google Sans" w:hAnsi="Google Sans"/>
            <w:color w:val="0000ee"/>
            <w:sz w:val="24"/>
            <w:szCs w:val="24"/>
            <w:u w:val="single"/>
            <w:rtl w:val="0"/>
          </w:rPr>
          <w:t xml:space="preserve">https://storm.genie.stanford.edu/</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stanford-oval/storm: An LLM-powered knowledge curation ... - GitHub, accessed April 2, 2026, </w:t>
      </w:r>
      <w:hyperlink r:id="rId17">
        <w:r w:rsidDel="00000000" w:rsidR="00000000" w:rsidRPr="00000000">
          <w:rPr>
            <w:rFonts w:ascii="Google Sans" w:cs="Google Sans" w:eastAsia="Google Sans" w:hAnsi="Google Sans"/>
            <w:color w:val="0000ee"/>
            <w:sz w:val="24"/>
            <w:szCs w:val="24"/>
            <w:u w:val="single"/>
            <w:rtl w:val="0"/>
          </w:rPr>
          <w:t xml:space="preserve">https://github.com/stanford-oval/storm</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Deep-Research Eval: An Automated Framework for Assessing Quality and Reliability in Long-Form Reports - MDPI, accessed April 2, 2026, </w:t>
      </w:r>
      <w:hyperlink r:id="rId18">
        <w:r w:rsidDel="00000000" w:rsidR="00000000" w:rsidRPr="00000000">
          <w:rPr>
            <w:rFonts w:ascii="Google Sans" w:cs="Google Sans" w:eastAsia="Google Sans" w:hAnsi="Google Sans"/>
            <w:color w:val="0000ee"/>
            <w:sz w:val="24"/>
            <w:szCs w:val="24"/>
            <w:u w:val="single"/>
            <w:rtl w:val="0"/>
          </w:rPr>
          <w:t xml:space="preserve">https://www.mdpi.com/2076-3417/16/5/2546</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Publications - Story-Based Inquiry, accessed April 2, 2026, </w:t>
      </w:r>
      <w:hyperlink r:id="rId19">
        <w:r w:rsidDel="00000000" w:rsidR="00000000" w:rsidRPr="00000000">
          <w:rPr>
            <w:rFonts w:ascii="Google Sans" w:cs="Google Sans" w:eastAsia="Google Sans" w:hAnsi="Google Sans"/>
            <w:color w:val="0000ee"/>
            <w:sz w:val="24"/>
            <w:szCs w:val="24"/>
            <w:u w:val="single"/>
            <w:rtl w:val="0"/>
          </w:rPr>
          <w:t xml:space="preserve">https://www.storybasedinquiry.com/manual</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Lesson: The investigative dossier - Media Helping Media, accessed April 2, 2026, </w:t>
      </w:r>
      <w:hyperlink r:id="rId20">
        <w:r w:rsidDel="00000000" w:rsidR="00000000" w:rsidRPr="00000000">
          <w:rPr>
            <w:rFonts w:ascii="Google Sans" w:cs="Google Sans" w:eastAsia="Google Sans" w:hAnsi="Google Sans"/>
            <w:color w:val="0000ee"/>
            <w:sz w:val="24"/>
            <w:szCs w:val="24"/>
            <w:u w:val="single"/>
            <w:rtl w:val="0"/>
          </w:rPr>
          <w:t xml:space="preserve">https://mediahelpingmedia.org/lessons/lesson-investigative-dossier/</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Artifacts, Claims, Evidence - SCITT - Supply Chain Integrity and Trust, accessed April 2, 2026, </w:t>
      </w:r>
      <w:hyperlink r:id="rId21">
        <w:r w:rsidDel="00000000" w:rsidR="00000000" w:rsidRPr="00000000">
          <w:rPr>
            <w:rFonts w:ascii="Google Sans" w:cs="Google Sans" w:eastAsia="Google Sans" w:hAnsi="Google Sans"/>
            <w:color w:val="0000ee"/>
            <w:sz w:val="24"/>
            <w:szCs w:val="24"/>
            <w:u w:val="single"/>
            <w:rtl w:val="0"/>
          </w:rPr>
          <w:t xml:space="preserve">https://scitt.io/components/artifacts--claims-evidence.html</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Evidence Management System Using Blockchain - Jetir.Org, accessed April 2, 2026, </w:t>
      </w:r>
      <w:hyperlink r:id="rId22">
        <w:r w:rsidDel="00000000" w:rsidR="00000000" w:rsidRPr="00000000">
          <w:rPr>
            <w:rFonts w:ascii="Google Sans" w:cs="Google Sans" w:eastAsia="Google Sans" w:hAnsi="Google Sans"/>
            <w:color w:val="0000ee"/>
            <w:sz w:val="24"/>
            <w:szCs w:val="24"/>
            <w:u w:val="single"/>
            <w:rtl w:val="0"/>
          </w:rPr>
          <w:t xml:space="preserve">https://www.jetir.org/papers/JETIR2411365.pdf</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McKinsey SCR Framework: What It Is &amp; How To Use It - Management Consulted, accessed April 2, 2026, </w:t>
      </w:r>
      <w:hyperlink r:id="rId23">
        <w:r w:rsidDel="00000000" w:rsidR="00000000" w:rsidRPr="00000000">
          <w:rPr>
            <w:rFonts w:ascii="Google Sans" w:cs="Google Sans" w:eastAsia="Google Sans" w:hAnsi="Google Sans"/>
            <w:color w:val="0000ee"/>
            <w:sz w:val="24"/>
            <w:szCs w:val="24"/>
            <w:u w:val="single"/>
            <w:rtl w:val="0"/>
          </w:rPr>
          <w:t xml:space="preserve">https://managementconsulted.com/mckinsey-scr-framework/</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National Intelligence Strategy? | ASU News, accessed April 2, 2026, </w:t>
      </w:r>
      <w:hyperlink r:id="rId24">
        <w:r w:rsidDel="00000000" w:rsidR="00000000" w:rsidRPr="00000000">
          <w:rPr>
            <w:rFonts w:ascii="Google Sans" w:cs="Google Sans" w:eastAsia="Google Sans" w:hAnsi="Google Sans"/>
            <w:color w:val="0000ee"/>
            <w:sz w:val="24"/>
            <w:szCs w:val="24"/>
            <w:u w:val="single"/>
            <w:rtl w:val="0"/>
          </w:rPr>
          <w:t xml:space="preserve">https://news.asu.edu/20190207-qa-what-national-intelligence-strategy</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Gemini To Explore The Narrative Undercurrents Of Television ..., accessed April 2, 2026, </w:t>
      </w:r>
      <w:hyperlink r:id="rId25">
        <w:r w:rsidDel="00000000" w:rsidR="00000000" w:rsidRPr="00000000">
          <w:rPr>
            <w:rFonts w:ascii="Google Sans" w:cs="Google Sans" w:eastAsia="Google Sans" w:hAnsi="Google Sans"/>
            <w:color w:val="0000ee"/>
            <w:sz w:val="24"/>
            <w:szCs w:val="24"/>
            <w:u w:val="single"/>
            <w:rtl w:val="0"/>
          </w:rPr>
          <w:t xml:space="preserve">https://blog.gdeltproject.org/using-gemini-to-explore-the-narrative-undercurrents-of-television-news-at-scale-first-experiments/</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McKinsey Template | PDF - Scribd, accessed April 2, 2026, </w:t>
      </w:r>
      <w:hyperlink r:id="rId26">
        <w:r w:rsidDel="00000000" w:rsidR="00000000" w:rsidRPr="00000000">
          <w:rPr>
            <w:rFonts w:ascii="Google Sans" w:cs="Google Sans" w:eastAsia="Google Sans" w:hAnsi="Google Sans"/>
            <w:color w:val="0000ee"/>
            <w:sz w:val="24"/>
            <w:szCs w:val="24"/>
            <w:u w:val="single"/>
            <w:rtl w:val="0"/>
          </w:rPr>
          <w:t xml:space="preserve">https://www.scribd.com/presentation/653036986/McKinsey-Template</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INTELLIGENCE COMMUNITY POLICY MEMORANDUM 200 (01) - ODNI, accessed April 2, 2026, </w:t>
      </w:r>
      <w:hyperlink r:id="rId27">
        <w:r w:rsidDel="00000000" w:rsidR="00000000" w:rsidRPr="00000000">
          <w:rPr>
            <w:rFonts w:ascii="Google Sans" w:cs="Google Sans" w:eastAsia="Google Sans" w:hAnsi="Google Sans"/>
            <w:color w:val="0000ee"/>
            <w:sz w:val="24"/>
            <w:szCs w:val="24"/>
            <w:u w:val="single"/>
            <w:rtl w:val="0"/>
          </w:rPr>
          <w:t xml:space="preserve">https://www.dni.gov/files/documents/ICPM/ICPM-2020-200-01-Redacted.pdf</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research dossier in CTIS, accessed April 2, 2026, </w:t>
      </w:r>
      <w:hyperlink r:id="rId28">
        <w:r w:rsidDel="00000000" w:rsidR="00000000" w:rsidRPr="00000000">
          <w:rPr>
            <w:rFonts w:ascii="Google Sans" w:cs="Google Sans" w:eastAsia="Google Sans" w:hAnsi="Google Sans"/>
            <w:color w:val="0000ee"/>
            <w:sz w:val="24"/>
            <w:szCs w:val="24"/>
            <w:u w:val="single"/>
            <w:rtl w:val="0"/>
          </w:rPr>
          <w:t xml:space="preserve">https://english.ccmo.nl/investigators/clinical-trials-with-medicinal-products-ctr/preparation-ctr/structure-research-dossier-in-ctis</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Minto Pyramid Principle Explained (With Example Frameworks) - BetterUp, accessed April 2, 2026, </w:t>
      </w:r>
      <w:hyperlink r:id="rId29">
        <w:r w:rsidDel="00000000" w:rsidR="00000000" w:rsidRPr="00000000">
          <w:rPr>
            <w:rFonts w:ascii="Google Sans" w:cs="Google Sans" w:eastAsia="Google Sans" w:hAnsi="Google Sans"/>
            <w:color w:val="0000ee"/>
            <w:sz w:val="24"/>
            <w:szCs w:val="24"/>
            <w:u w:val="single"/>
            <w:rtl w:val="0"/>
          </w:rPr>
          <w:t xml:space="preserve">https://www.betterup.com/blog/minto-pyramid</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Evaluation Metrics: The Ultimate LLM Evaluation Guide - Confident AI, accessed April 2, 2026, </w:t>
      </w:r>
      <w:hyperlink r:id="rId30">
        <w:r w:rsidDel="00000000" w:rsidR="00000000" w:rsidRPr="00000000">
          <w:rPr>
            <w:rFonts w:ascii="Google Sans" w:cs="Google Sans" w:eastAsia="Google Sans" w:hAnsi="Google Sans"/>
            <w:color w:val="0000ee"/>
            <w:sz w:val="24"/>
            <w:szCs w:val="24"/>
            <w:u w:val="single"/>
            <w:rtl w:val="0"/>
          </w:rPr>
          <w:t xml:space="preserve">https://www.confident-ai.com/blog/llm-evaluation-metrics-everything-you-need-for-llm-evaluation</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the performance of LLM summarization prompts with G-Eval | Microsoft Learn, accessed April 2, 2026, </w:t>
      </w:r>
      <w:hyperlink r:id="rId31">
        <w:r w:rsidDel="00000000" w:rsidR="00000000" w:rsidRPr="00000000">
          <w:rPr>
            <w:rFonts w:ascii="Google Sans" w:cs="Google Sans" w:eastAsia="Google Sans" w:hAnsi="Google Sans"/>
            <w:color w:val="0000ee"/>
            <w:sz w:val="24"/>
            <w:szCs w:val="24"/>
            <w:u w:val="single"/>
            <w:rtl w:val="0"/>
          </w:rPr>
          <w:t xml:space="preserve">https://learn.microsoft.com/en-us/ai/playbook/technology-guidance/generative-ai/working-with-llms/evaluation/g-eval-metric-for-summarization</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LLM Routing Techniques - Maxim AI, accessed April 2, 2026, </w:t>
      </w:r>
      <w:hyperlink r:id="rId32">
        <w:r w:rsidDel="00000000" w:rsidR="00000000" w:rsidRPr="00000000">
          <w:rPr>
            <w:rFonts w:ascii="Google Sans" w:cs="Google Sans" w:eastAsia="Google Sans" w:hAnsi="Google Sans"/>
            <w:color w:val="0000ee"/>
            <w:sz w:val="24"/>
            <w:szCs w:val="24"/>
            <w:u w:val="single"/>
            <w:rtl w:val="0"/>
          </w:rPr>
          <w:t xml:space="preserve">https://www.getmaxim.ai/articles/top-5-llm-routing-techniques/</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Model Routers for Multi-Provider LLM Cost Optimization | MindStudio, accessed April 2, 2026, </w:t>
      </w:r>
      <w:hyperlink r:id="rId33">
        <w:r w:rsidDel="00000000" w:rsidR="00000000" w:rsidRPr="00000000">
          <w:rPr>
            <w:rFonts w:ascii="Google Sans" w:cs="Google Sans" w:eastAsia="Google Sans" w:hAnsi="Google Sans"/>
            <w:color w:val="0000ee"/>
            <w:sz w:val="24"/>
            <w:szCs w:val="24"/>
            <w:u w:val="single"/>
            <w:rtl w:val="0"/>
          </w:rPr>
          <w:t xml:space="preserve">https://www.mindstudio.ai/blog/best-ai-model-routers-multi-provider-llm-cost</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RAG: How To Evaluate LLMs For RAG - Galileo AI, accessed April 2, 2026, </w:t>
      </w:r>
      <w:hyperlink r:id="rId34">
        <w:r w:rsidDel="00000000" w:rsidR="00000000" w:rsidRPr="00000000">
          <w:rPr>
            <w:rFonts w:ascii="Google Sans" w:cs="Google Sans" w:eastAsia="Google Sans" w:hAnsi="Google Sans"/>
            <w:color w:val="0000ee"/>
            <w:sz w:val="24"/>
            <w:szCs w:val="24"/>
            <w:u w:val="single"/>
            <w:rtl w:val="0"/>
          </w:rPr>
          <w:t xml:space="preserve">https://galileo.ai/blog/how-to-evaluate-llms-for-rag</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 Papers - Hugging Face, accessed April 2, 2026, </w:t>
      </w:r>
      <w:hyperlink r:id="rId35">
        <w:r w:rsidDel="00000000" w:rsidR="00000000" w:rsidRPr="00000000">
          <w:rPr>
            <w:rFonts w:ascii="Google Sans" w:cs="Google Sans" w:eastAsia="Google Sans" w:hAnsi="Google Sans"/>
            <w:color w:val="0000ee"/>
            <w:sz w:val="24"/>
            <w:szCs w:val="24"/>
            <w:u w:val="single"/>
            <w:rtl w:val="0"/>
          </w:rPr>
          <w:t xml:space="preserve">https://huggingface.co/papers?q=lightweight%20routing%20policies</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vLLM Semantic Router: Signal Driven Decision Routing for Mixture-of-Modality Models - arXiv, accessed April 2, 2026, </w:t>
      </w:r>
      <w:hyperlink r:id="rId36">
        <w:r w:rsidDel="00000000" w:rsidR="00000000" w:rsidRPr="00000000">
          <w:rPr>
            <w:rFonts w:ascii="Google Sans" w:cs="Google Sans" w:eastAsia="Google Sans" w:hAnsi="Google Sans"/>
            <w:color w:val="0000ee"/>
            <w:sz w:val="24"/>
            <w:szCs w:val="24"/>
            <w:u w:val="single"/>
            <w:rtl w:val="0"/>
          </w:rPr>
          <w:t xml:space="preserve">https://arxiv.org/pdf/2603.04444</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Techniques of Investigative Journalism - CMDS, accessed April 2, 2026, </w:t>
      </w:r>
      <w:hyperlink r:id="rId37">
        <w:r w:rsidDel="00000000" w:rsidR="00000000" w:rsidRPr="00000000">
          <w:rPr>
            <w:rFonts w:ascii="Google Sans" w:cs="Google Sans" w:eastAsia="Google Sans" w:hAnsi="Google Sans"/>
            <w:color w:val="0000ee"/>
            <w:sz w:val="24"/>
            <w:szCs w:val="24"/>
            <w:u w:val="single"/>
            <w:rtl w:val="0"/>
          </w:rPr>
          <w:t xml:space="preserve">https://cmds.ceu.edu/techniques-investigative-journalism</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a Memo or Report | Harvard Business Impact Education, accessed April 2, 2026, </w:t>
      </w:r>
      <w:hyperlink r:id="rId38">
        <w:r w:rsidDel="00000000" w:rsidR="00000000" w:rsidRPr="00000000">
          <w:rPr>
            <w:rFonts w:ascii="Google Sans" w:cs="Google Sans" w:eastAsia="Google Sans" w:hAnsi="Google Sans"/>
            <w:color w:val="0000ee"/>
            <w:sz w:val="24"/>
            <w:szCs w:val="24"/>
            <w:u w:val="single"/>
            <w:rtl w:val="0"/>
          </w:rPr>
          <w:t xml:space="preserve">https://hbsp.harvard.edu/product/U9711C-PDF-ENG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ediahelpingmedia.org/lessons/lesson-investigative-dossier/" TargetMode="External"/><Relationship Id="rId22" Type="http://schemas.openxmlformats.org/officeDocument/2006/relationships/hyperlink" Target="https://www.jetir.org/papers/JETIR2411365.pdf" TargetMode="External"/><Relationship Id="rId21" Type="http://schemas.openxmlformats.org/officeDocument/2006/relationships/hyperlink" Target="https://scitt.io/components/artifacts--claims-evidence.html" TargetMode="External"/><Relationship Id="rId24" Type="http://schemas.openxmlformats.org/officeDocument/2006/relationships/hyperlink" Target="https://news.asu.edu/20190207-qa-what-national-intelligence-strategy" TargetMode="External"/><Relationship Id="rId23" Type="http://schemas.openxmlformats.org/officeDocument/2006/relationships/hyperlink" Target="https://managementconsulted.com/mckinsey-scr-framewor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ooks.google.com/books/about/Structured_Analytic_Techniques_for_Intel.html?id=Js1w15Q7X4gC" TargetMode="External"/><Relationship Id="rId26" Type="http://schemas.openxmlformats.org/officeDocument/2006/relationships/hyperlink" Target="https://www.scribd.com/presentation/653036986/McKinsey-Template" TargetMode="External"/><Relationship Id="rId25" Type="http://schemas.openxmlformats.org/officeDocument/2006/relationships/hyperlink" Target="https://blog.gdeltproject.org/using-gemini-to-explore-the-narrative-undercurrents-of-television-news-at-scale-first-experiments/" TargetMode="External"/><Relationship Id="rId28" Type="http://schemas.openxmlformats.org/officeDocument/2006/relationships/hyperlink" Target="https://english.ccmo.nl/investigators/clinical-trials-with-medicinal-products-ctr/preparation-ctr/structure-research-dossier-in-ctis" TargetMode="External"/><Relationship Id="rId27" Type="http://schemas.openxmlformats.org/officeDocument/2006/relationships/hyperlink" Target="https://www.dni.gov/files/documents/ICPM/ICPM-2020-200-01-Redacted.pdf" TargetMode="External"/><Relationship Id="rId5" Type="http://schemas.openxmlformats.org/officeDocument/2006/relationships/styles" Target="styles.xml"/><Relationship Id="rId6" Type="http://schemas.openxmlformats.org/officeDocument/2006/relationships/hyperlink" Target="https://medium.com/@stunspot/unbreaking-ai-7a61b70219f3" TargetMode="External"/><Relationship Id="rId29" Type="http://schemas.openxmlformats.org/officeDocument/2006/relationships/hyperlink" Target="https://www.betterup.com/blog/minto-pyramid" TargetMode="External"/><Relationship Id="rId7" Type="http://schemas.openxmlformats.org/officeDocument/2006/relationships/hyperlink" Target="https://www.researchgate.net/publication/400996812_EviLedger_governing_clinical_AI_with_a_verifiable_evidence_ledger" TargetMode="External"/><Relationship Id="rId8" Type="http://schemas.openxmlformats.org/officeDocument/2006/relationships/hyperlink" Target="https://www.media-diversity.org/additional-files/documents/A%20Guides/A%20manual%20for%20investigative%20journalists%20%5BEN%5D%20%5BFR%5D/A%20manual%20for%20investigative%20journalists%20%5BEN%5D.pdf" TargetMode="External"/><Relationship Id="rId31" Type="http://schemas.openxmlformats.org/officeDocument/2006/relationships/hyperlink" Target="https://learn.microsoft.com/en-us/ai/playbook/technology-guidance/generative-ai/working-with-llms/evaluation/g-eval-metric-for-summarization" TargetMode="External"/><Relationship Id="rId30" Type="http://schemas.openxmlformats.org/officeDocument/2006/relationships/hyperlink" Target="https://www.confident-ai.com/blog/llm-evaluation-metrics-everything-you-need-for-llm-evaluation" TargetMode="External"/><Relationship Id="rId11" Type="http://schemas.openxmlformats.org/officeDocument/2006/relationships/hyperlink" Target="https://lan-portal.uob.edu.ly/mirror/PAGE/609AN99291/structured_analytic-techniques_for_intelligence__analysis.pdf" TargetMode="External"/><Relationship Id="rId33" Type="http://schemas.openxmlformats.org/officeDocument/2006/relationships/hyperlink" Target="https://www.mindstudio.ai/blog/best-ai-model-routers-multi-provider-llm-cost" TargetMode="External"/><Relationship Id="rId10" Type="http://schemas.openxmlformats.org/officeDocument/2006/relationships/hyperlink" Target="https://www.scribd.com/document/554459164/Structured-Analytic-Techniques-for-Intelligence-Analysis-by-Richards-and-Randolph" TargetMode="External"/><Relationship Id="rId32" Type="http://schemas.openxmlformats.org/officeDocument/2006/relationships/hyperlink" Target="https://www.getmaxim.ai/articles/top-5-llm-routing-techniques/" TargetMode="External"/><Relationship Id="rId13" Type="http://schemas.openxmlformats.org/officeDocument/2006/relationships/hyperlink" Target="https://www.researchgate.net/publication/402978452_DATA_STORYTELLING_IN_INTELLIGENT_ANALYTICS_SYSTEMS_FROM_VISUALIZATION_TO_DECISION_INTELLIGENCE" TargetMode="External"/><Relationship Id="rId35" Type="http://schemas.openxmlformats.org/officeDocument/2006/relationships/hyperlink" Target="https://huggingface.co/papers?q=lightweight+routing+policies" TargetMode="External"/><Relationship Id="rId12" Type="http://schemas.openxmlformats.org/officeDocument/2006/relationships/hyperlink" Target="https://mediahelpingmedia.org/investigative/compiling-an-investigative-journalism-dossier/" TargetMode="External"/><Relationship Id="rId34" Type="http://schemas.openxmlformats.org/officeDocument/2006/relationships/hyperlink" Target="https://galileo.ai/blog/how-to-evaluate-llms-for-rag" TargetMode="External"/><Relationship Id="rId15" Type="http://schemas.openxmlformats.org/officeDocument/2006/relationships/hyperlink" Target="https://home.army.mil/wood/6115/8222/0759/RedTeamHB.pdf" TargetMode="External"/><Relationship Id="rId37" Type="http://schemas.openxmlformats.org/officeDocument/2006/relationships/hyperlink" Target="https://cmds.ceu.edu/techniques-investigative-journalism" TargetMode="External"/><Relationship Id="rId14" Type="http://schemas.openxmlformats.org/officeDocument/2006/relationships/hyperlink" Target="https://harris.uchicago.edu/files/how_to_write_a_policy_memo_that_matters_0.pdf" TargetMode="External"/><Relationship Id="rId36" Type="http://schemas.openxmlformats.org/officeDocument/2006/relationships/hyperlink" Target="https://arxiv.org/pdf/2603.04444" TargetMode="External"/><Relationship Id="rId17" Type="http://schemas.openxmlformats.org/officeDocument/2006/relationships/hyperlink" Target="https://github.com/stanford-oval/storm" TargetMode="External"/><Relationship Id="rId16" Type="http://schemas.openxmlformats.org/officeDocument/2006/relationships/hyperlink" Target="https://storm.genie.stanford.edu/" TargetMode="External"/><Relationship Id="rId38" Type="http://schemas.openxmlformats.org/officeDocument/2006/relationships/hyperlink" Target="https://hbsp.harvard.edu/product/U9711C-PDF-ENG" TargetMode="External"/><Relationship Id="rId19" Type="http://schemas.openxmlformats.org/officeDocument/2006/relationships/hyperlink" Target="https://www.storybasedinquiry.com/manual" TargetMode="External"/><Relationship Id="rId18" Type="http://schemas.openxmlformats.org/officeDocument/2006/relationships/hyperlink" Target="https://www.mdpi.com/2076-3417/16/5/254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