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Re.Match — Next Steps</w:t>
      </w:r>
    </w:p>
    <w:p>
      <w:pPr>
        <w:jc w:val="left"/>
      </w:pPr>
      <w:r>
        <w:rPr>
          <w:color w:val="282828"/>
          <w:sz w:val="22"/>
        </w:rPr>
        <w:t>Recommended implementation order from the current planning state to a working operational prototype.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2F6F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Build the form from the schema, not the other way around.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Keep the schema broad, but keep the user path light and progressive.</w:t>
            </w:r>
          </w:p>
          <w:p>
            <w:pPr>
              <w:spacing w:after="40"/>
            </w:pPr>
            <w:r>
              <w:rPr>
                <w:b/>
              </w:rPr>
              <w:t xml:space="preserve">• </w:t>
            </w:r>
            <w:r>
              <w:t>Move quickly to a manual MVP before automation.</w:t>
            </w:r>
          </w:p>
        </w:tc>
      </w:tr>
    </w:tbl>
    <w:p/>
    <w:p>
      <w:pPr>
        <w:pStyle w:val="Heading1"/>
      </w:pPr>
      <w:r>
        <w:t>Recommended build order</w:t>
      </w:r>
    </w:p>
    <w:p>
      <w:pPr>
        <w:pStyle w:val="ListNumber"/>
      </w:pPr>
      <w:r>
        <w:t>Finalize the visible form structure: confirm section order, wording tone, and which fields belong in Quick Start, Strongly Recommended, and Deep Profile.</w:t>
      </w:r>
    </w:p>
    <w:p>
      <w:pPr>
        <w:pStyle w:val="ListNumber"/>
      </w:pPr>
      <w:r>
        <w:t>Implement the form in a phone-friendly platform such as Tally or Jotform with save-and-resume enabled.</w:t>
      </w:r>
    </w:p>
    <w:p>
      <w:pPr>
        <w:pStyle w:val="ListNumber"/>
      </w:pPr>
      <w:r>
        <w:t>Add conditional logic so users only see follow-up fields relevant to what they selected.</w:t>
      </w:r>
    </w:p>
    <w:p>
      <w:pPr>
        <w:pStyle w:val="ListNumber"/>
      </w:pPr>
      <w:r>
        <w:t>Create the canonical JSON mapping from form fields to master schema field names.</w:t>
      </w:r>
    </w:p>
    <w:p>
      <w:pPr>
        <w:pStyle w:val="ListNumber"/>
      </w:pPr>
      <w:r>
        <w:t>Define the first-pass matching logic: which fields drive urgency, eligibility, and action-plan sequencing.</w:t>
      </w:r>
    </w:p>
    <w:p>
      <w:pPr>
        <w:pStyle w:val="ListNumber"/>
      </w:pPr>
      <w:r>
        <w:t>Create the dossier template that turns completed intake + matched resources into a human-readable result.</w:t>
      </w:r>
    </w:p>
    <w:p>
      <w:pPr>
        <w:pStyle w:val="ListNumber"/>
      </w:pPr>
      <w:r>
        <w:t>Create a simple resource database structure so recommendations can be stored, deduplicated, and improved across runs.</w:t>
      </w:r>
    </w:p>
    <w:p>
      <w:pPr>
        <w:pStyle w:val="Heading1"/>
      </w:pPr>
      <w:r>
        <w:t>Recommended MVP</w:t>
      </w:r>
    </w:p>
    <w:p>
      <w:pPr>
        <w:pStyle w:val="ListBullet"/>
        <w:ind w:left="0"/>
      </w:pPr>
      <w:r>
        <w:t>One operational intake form.</w:t>
      </w:r>
    </w:p>
    <w:p>
      <w:pPr>
        <w:pStyle w:val="ListBullet"/>
        <w:ind w:left="0"/>
      </w:pPr>
      <w:r>
        <w:t>Manual conversion of submission into normalized JSON.</w:t>
      </w:r>
    </w:p>
    <w:p>
      <w:pPr>
        <w:pStyle w:val="ListBullet"/>
        <w:ind w:left="0"/>
      </w:pPr>
      <w:r>
        <w:t>Manual research and dossier production for the first few users.</w:t>
      </w:r>
    </w:p>
    <w:p>
      <w:pPr>
        <w:pStyle w:val="ListBullet"/>
        <w:ind w:left="0"/>
      </w:pPr>
      <w:r>
        <w:t>Resource database updated every time a dossier is produced.</w:t>
      </w:r>
    </w:p>
    <w:p>
      <w:pPr>
        <w:pStyle w:val="ListBullet"/>
        <w:ind w:left="0"/>
      </w:pPr>
      <w:r>
        <w:t>No heavy automation until quality and workflow are stable.</w:t>
      </w:r>
    </w:p>
    <w:p>
      <w:pPr>
        <w:pStyle w:val="Heading1"/>
      </w:pPr>
      <w:r>
        <w:t>Important design guardrails</w:t>
      </w:r>
    </w:p>
    <w:p>
      <w:pPr>
        <w:pStyle w:val="ListBullet"/>
        <w:ind w:left="0"/>
      </w:pPr>
      <w:r>
        <w:t>Do not force the full schema on every user at once.</w:t>
      </w:r>
    </w:p>
    <w:p>
      <w:pPr>
        <w:pStyle w:val="ListBullet"/>
        <w:ind w:left="0"/>
      </w:pPr>
      <w:r>
        <w:t>Do not use probation-jargon or clinical risk language in the visible form.</w:t>
      </w:r>
    </w:p>
    <w:p>
      <w:pPr>
        <w:pStyle w:val="ListBullet"/>
        <w:ind w:left="0"/>
      </w:pPr>
      <w:r>
        <w:t>Do preserve every useful backend field in the canonical schema.</w:t>
      </w:r>
    </w:p>
    <w:p>
      <w:pPr>
        <w:pStyle w:val="ListBullet"/>
        <w:ind w:left="0"/>
      </w:pPr>
      <w:r>
        <w:t>Do separate schema completeness from form burden.</w:t>
      </w:r>
    </w:p>
    <w:p>
      <w:pPr>
        <w:pStyle w:val="ListBullet"/>
        <w:ind w:left="0"/>
      </w:pPr>
      <w:r>
        <w:t>Do measure which fields actually improve dossier quality and completion rates.</w:t>
      </w:r>
    </w:p>
    <w:p>
      <w:pPr>
        <w:pStyle w:val="Heading1"/>
      </w:pPr>
      <w:r>
        <w:t>Best immediate next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120"/>
      </w:tblGrid>
      <w:tr>
        <w:trPr>
          <w:tblHeader w:val="true"/>
        </w:trPr>
        <w:tc>
          <w:tcPr>
            <w:tcW w:type="dxa" w:w="4896"/>
            <w:shd w:fill="DCE6F1"/>
            <w:vAlign w:val="center"/>
          </w:tcPr>
          <w:p>
            <w:r>
              <w:t>Item</w:t>
            </w:r>
          </w:p>
        </w:tc>
        <w:tc>
          <w:tcPr>
            <w:tcW w:type="dxa" w:w="4896"/>
            <w:shd w:fill="DCE6F1"/>
            <w:vAlign w:val="center"/>
          </w:tcPr>
          <w:p>
            <w:r>
              <w:t>Details</w:t>
            </w:r>
          </w:p>
        </w:tc>
      </w:tr>
      <w:tr>
        <w:tc>
          <w:tcPr>
            <w:tcW w:type="dxa" w:w="3096"/>
            <w:vAlign w:val="center"/>
          </w:tcPr>
          <w:p>
            <w:r>
              <w:t>Action 1</w:t>
            </w:r>
          </w:p>
        </w:tc>
        <w:tc>
          <w:tcPr>
            <w:tcW w:type="dxa" w:w="6120"/>
            <w:vAlign w:val="center"/>
          </w:tcPr>
          <w:p>
            <w:r>
              <w:t>Convert the human-facing form into a form-builder-ready specification with field types and conditional logic.</w:t>
            </w:r>
          </w:p>
        </w:tc>
      </w:tr>
      <w:tr>
        <w:tc>
          <w:tcPr>
            <w:tcW w:type="dxa" w:w="3096"/>
            <w:vAlign w:val="center"/>
          </w:tcPr>
          <w:p>
            <w:r>
              <w:t>Action 2</w:t>
            </w:r>
          </w:p>
        </w:tc>
        <w:tc>
          <w:tcPr>
            <w:tcW w:type="dxa" w:w="6120"/>
            <w:vAlign w:val="center"/>
          </w:tcPr>
          <w:p>
            <w:r>
              <w:t>Create the normalized JSON intake map that mirrors the schema exactly.</w:t>
            </w:r>
          </w:p>
        </w:tc>
      </w:tr>
      <w:tr>
        <w:tc>
          <w:tcPr>
            <w:tcW w:type="dxa" w:w="3096"/>
            <w:vAlign w:val="center"/>
          </w:tcPr>
          <w:p>
            <w:r>
              <w:t>Action 3</w:t>
            </w:r>
          </w:p>
        </w:tc>
        <w:tc>
          <w:tcPr>
            <w:tcW w:type="dxa" w:w="6120"/>
            <w:vAlign w:val="center"/>
          </w:tcPr>
          <w:p>
            <w:r>
              <w:t>Draft the first dossier template so the output format is locked before heavy automation.</w:t>
            </w:r>
          </w:p>
        </w:tc>
      </w:tr>
      <w:tr>
        <w:tc>
          <w:tcPr>
            <w:tcW w:type="dxa" w:w="3096"/>
            <w:vAlign w:val="center"/>
          </w:tcPr>
          <w:p>
            <w:r>
              <w:t>Action 4</w:t>
            </w:r>
          </w:p>
        </w:tc>
        <w:tc>
          <w:tcPr>
            <w:tcW w:type="dxa" w:w="6120"/>
            <w:vAlign w:val="center"/>
          </w:tcPr>
          <w:p>
            <w:r>
              <w:t>Create the first resource-database table structure for ongoing accumulation and deduplication.</w:t>
            </w:r>
          </w:p>
        </w:tc>
      </w:tr>
    </w:tbl>
    <w:p/>
    <w:p>
      <w:pPr>
        <w:pStyle w:val="Heading1"/>
      </w:pPr>
      <w:r>
        <w:t>Definition of success for the next stage</w:t>
      </w:r>
    </w:p>
    <w:p>
      <w:r>
        <w:t>A user should be able to complete Quick Start on a phone in about five minutes, while the system still captures enough operational truth to produce a genuinely useful first dossier.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Re.Match planning materials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1F4E79"/>
        <w:sz w:val="16"/>
      </w:rPr>
      <w:t>Next steps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20"/>
      <w:outlineLvl w:val="2"/>
    </w:pPr>
    <w:rPr>
      <w:rFonts w:asciiTheme="majorHAnsi" w:eastAsiaTheme="majorEastAsia" w:hAnsiTheme="majorHAnsi" w:cstheme="majorBidi" w:ascii="Aptos" w:hAnsi="Aptos"/>
      <w:b/>
      <w:bCs/>
      <w:color w:val="2828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