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Tracer-Informed Physics-Informed Neural Networks</w:t>
      </w:r>
    </w:p>
    <w:p>
      <w:pPr>
        <w:spacing w:after="60"/>
        <w:jc w:val="center"/>
      </w:pPr>
      <w:r>
        <w:rPr>
          <w:rFonts w:ascii="Calibri" w:cs="Calibri" w:eastAsia="Calibri" w:hAnsi="Calibri"/>
          <w:b/>
          <w:bCs/>
          <w:color w:val="1F4E79"/>
          <w:sz w:val="32"/>
          <w:szCs w:val="32"/>
        </w:rPr>
        <w:t xml:space="preserve">for Fast/Slow Flow Partitioning</w:t>
      </w:r>
    </w:p>
    <w:p>
      <w:pPr>
        <w:spacing w:after="60"/>
        <w:jc w:val="center"/>
      </w:pPr>
      <w:r>
        <w:rPr>
          <w:rFonts w:ascii="Calibri" w:cs="Calibri" w:eastAsia="Calibri" w:hAnsi="Calibri"/>
          <w:i/>
          <w:iCs/>
          <w:sz w:val="24"/>
          <w:szCs w:val="24"/>
        </w:rPr>
        <w:t xml:space="preserve">Restart Document 2: Corrected Conceptual Model &amp; Governing Equations</w:t>
      </w:r>
    </w:p>
    <w:p>
      <w:pPr>
        <w:spacing w:after="300"/>
        <w:jc w:val="center"/>
      </w:pPr>
      <w:r>
        <w:rPr>
          <w:rFonts w:ascii="Calibri" w:cs="Calibri" w:eastAsia="Calibri" w:hAnsi="Calibri"/>
          <w:color w:val="595959"/>
          <w:sz w:val="22"/>
          <w:szCs w:val="22"/>
        </w:rPr>
        <w:t xml:space="preserve">Study Site: East River Watershed, Colorado</w:t>
      </w:r>
    </w:p>
    <w:p>
      <w:pPr>
        <w:pBdr>
          <w:bottom w:val="single" w:color="BFBFBF" w:sz="6"/>
        </w:pBdr>
        <w:spacing w:after="200" w:before="200"/>
      </w:pPr>
      <w:r>
        <w:rPr>
          <w:rFonts w:ascii="Calibri" w:cs="Calibri" w:eastAsia="Calibri" w:hAnsi="Calibri"/>
        </w:rPr>
        <w:t xml:space="preserve"/>
      </w:r>
    </w:p>
    <w:p>
      <w:pPr>
        <w:pStyle w:val="Heading1"/>
        <w:spacing w:after="160" w:before="320"/>
      </w:pPr>
      <w:r>
        <w:t xml:space="preserve">1. Review of the Submitted Formulation</w:t>
      </w:r>
    </w:p>
    <w:p>
      <w:pPr>
        <w:spacing w:after="160" w:line="276"/>
      </w:pPr>
      <w:r>
        <w:rPr>
          <w:rFonts w:ascii="Calibri" w:cs="Calibri" w:eastAsia="Calibri" w:hAnsi="Calibri"/>
          <w:sz w:val="22"/>
          <w:szCs w:val="22"/>
        </w:rPr>
        <w:t xml:space="preserve">The submitted draft improves on the prior version by formalizing sub-basin indexing (j = 1,…5) and an explicit effective water input term. However, it carries forward one critical error your advisor already flagged, and introduces a new internal inconsistency of the same category that caused the previous rejection. Both are corrected below before the equations are restated.</w:t>
      </w:r>
    </w:p>
    <w:p>
      <w:pPr>
        <w:pStyle w:val="Heading2"/>
        <w:spacing w:after="120" w:before="260"/>
      </w:pPr>
      <w:r>
        <w:t xml:space="preserve">Errors identified</w:t>
      </w:r>
    </w:p>
    <w:p>
      <w:pPr>
        <w:pStyle w:val="ListParagraph"/>
        <w:numPr>
          <w:ilvl w:val="0"/>
          <w:numId w:val="2"/>
        </w:numPr>
        <w:spacing w:after="100" w:line="276"/>
      </w:pPr>
      <w:r>
        <w:t xml:space="preserve">Glacier melt term still present. GM_j(t) appears in the figure (“Glacier/Ice Storage” box) and in the effective water input equation, despite your advisor's explicit prior correction that East River has seasonal snowpack only, no active glaciers. This must be removed from both the diagram and the equations.</w:t>
      </w:r>
    </w:p>
    <w:p>
      <w:pPr>
        <w:pStyle w:val="ListParagraph"/>
        <w:numPr>
          <w:ilvl w:val="0"/>
          <w:numId w:val="2"/>
        </w:numPr>
        <w:spacing w:after="100" w:line="276"/>
      </w:pPr>
      <w:r>
        <w:t xml:space="preserve">Diagram and equations describe different models. The figure's legend lists three conservation-law storages (Fast, Preferential, Slow), but only draws two storage cylinders and shows “Fast Flow” as an unstored bypass arrow. The equations solve only two storages (S_f, S_s) — there is no S_p anywhere in the math. The figure's outlet equation (Q = Q_f + Q_p + Q_s) and the text's outlet equation (Q = Q_uf + Q_f + Q_s) use different names for what appear to be the same three components. This needs one consistent naming convention across figure and equations.</w:t>
      </w:r>
    </w:p>
    <w:p>
      <w:pPr>
        <w:pStyle w:val="ListParagraph"/>
        <w:numPr>
          <w:ilvl w:val="0"/>
          <w:numId w:val="2"/>
        </w:numPr>
        <w:spacing w:after="100" w:line="276"/>
      </w:pPr>
      <w:r>
        <w:t xml:space="preserve">Subscript typo: dS_s,j/dt = R_g,f(t) − Q_s,f(t) indexes recharge and discharge by f instead of j.</w:t>
      </w:r>
    </w:p>
    <w:p>
      <w:pPr>
        <w:pStyle w:val="ListParagraph"/>
        <w:numPr>
          <w:ilvl w:val="0"/>
          <w:numId w:val="2"/>
        </w:numPr>
        <w:spacing w:after="100" w:line="276"/>
      </w:pPr>
      <w:r>
        <w:t xml:space="preserve">“Linear Regression” is the wrong label for Q = K·S — this is a linear reservoir / storage–discharge relationship, a physical closure, not a statistical regression. Additionally, K_f,j(t) and K_s,j(t) are written as free functions of time; if unconstrained, the network can fit a different K at every timestep, which defeats the purpose of embedding this as a physical constraint and worsens the identifiability concerns already raised for this study. Recommend constants per sub-basin, or a function of a small number of named physical covariates.</w:t>
      </w:r>
    </w:p>
    <w:p>
      <w:pPr>
        <w:pStyle w:val="ListParagraph"/>
        <w:numPr>
          <w:ilvl w:val="0"/>
          <w:numId w:val="2"/>
        </w:numPr>
        <w:spacing w:after="100" w:line="276"/>
      </w:pPr>
      <w:r>
        <w:t xml:space="preserve">A single C_in,j(t) feeds both the fast reservoir and the groundwater recharge term. Physically, quickly-infiltrating preferential flow is closer to fresh event-water chemistry, while groundwater recharge has more time for water–rock contact and can carry a different chloride signature. At minimum, state this as a simplifying assumption; ideally, use distinct end-members if your anion dataset supports it.</w:t>
      </w:r>
    </w:p>
    <w:p>
      <w:pPr>
        <w:pStyle w:val="ListParagraph"/>
        <w:numPr>
          <w:ilvl w:val="0"/>
          <w:numId w:val="2"/>
        </w:numPr>
        <w:spacing w:after="100" w:line="276"/>
      </w:pPr>
      <w:r>
        <w:t xml:space="preserve">The outlet discharge and outlet tracer concentration equations summed all five sub-basins directly, which is only valid for independent, parallel tributaries. Resolved in Section 4 below — East River's sub-basins are nested, and the outlet equations have been rewritten as a routed network.</w:t>
      </w:r>
    </w:p>
    <w:p>
      <w:pPr>
        <w:pStyle w:val="Heading1"/>
        <w:spacing w:after="160" w:before="320"/>
      </w:pPr>
      <w:r>
        <w:t xml:space="preserve">2. Evapotranspiration — Why and How to Incorporate It</w:t>
      </w:r>
    </w:p>
    <w:p>
      <w:pPr>
        <w:spacing w:after="160" w:line="276"/>
      </w:pPr>
      <w:r>
        <w:rPr>
          <w:rFonts w:ascii="Calibri" w:cs="Calibri" w:eastAsia="Calibri" w:hAnsi="Calibri"/>
          <w:sz w:val="22"/>
          <w:szCs w:val="22"/>
        </w:rPr>
        <w:t xml:space="preserve">The submitted draft states ET is “represented implicitly in storage dynamics” without an explicit term. This is not defensible: an implicit, unconstrained loss is indistinguishable from model bias and cannot be evaluated or validated. Site-specific evidence argues for an explicit, physically justified treatment.</w:t>
      </w:r>
    </w:p>
    <w:p>
      <w:pPr>
        <w:pStyle w:val="Heading2"/>
        <w:spacing w:after="120" w:before="260"/>
      </w:pPr>
      <w:r>
        <w:t xml:space="preserve">What is known about ET at East River</w:t>
      </w:r>
    </w:p>
    <w:p>
      <w:pPr>
        <w:pStyle w:val="ListParagraph"/>
        <w:numPr>
          <w:ilvl w:val="0"/>
          <w:numId w:val="1"/>
        </w:numPr>
        <w:spacing w:after="90" w:line="276"/>
        <w:rPr>
          <w:rFonts w:ascii="Calibri" w:cs="Calibri" w:eastAsia="Calibri" w:hAnsi="Calibri"/>
          <w:sz w:val="22"/>
          <w:szCs w:val="22"/>
        </w:rPr>
      </w:pPr>
      <w:r>
        <w:t xml:space="preserve">Eddy-covariance and water-balance modeling for East River estimate that roughly 55% of annual precipitation is lost to ET, with about 75% of that occurring during the summer months (May–September).</w:t>
      </w:r>
    </w:p>
    <w:p>
      <w:pPr>
        <w:pStyle w:val="ListParagraph"/>
        <w:numPr>
          <w:ilvl w:val="0"/>
          <w:numId w:val="1"/>
        </w:numPr>
        <w:spacing w:after="90" w:line="276"/>
        <w:rPr>
          <w:rFonts w:ascii="Calibri" w:cs="Calibri" w:eastAsia="Calibri" w:hAnsi="Calibri"/>
          <w:sz w:val="22"/>
          <w:szCs w:val="22"/>
        </w:rPr>
      </w:pPr>
      <w:r>
        <w:t xml:space="preserve">At a riparian eddy-covariance site in East River, groundwater supplied up to 76% of summer ET — meaning a substantial share of ET draws on the slow/groundwater reservoir, not only near-surface storage.</w:t>
      </w:r>
    </w:p>
    <w:p>
      <w:pPr>
        <w:pStyle w:val="ListParagraph"/>
        <w:numPr>
          <w:ilvl w:val="0"/>
          <w:numId w:val="1"/>
        </w:numPr>
        <w:spacing w:after="90" w:line="276"/>
        <w:rPr>
          <w:rFonts w:ascii="Calibri" w:cs="Calibri" w:eastAsia="Calibri" w:hAnsi="Calibri"/>
          <w:sz w:val="22"/>
          <w:szCs w:val="22"/>
        </w:rPr>
      </w:pPr>
      <w:r>
        <w:t xml:space="preserve">Sap-flux and stable-isotope sampling of trees on the Snodgrass Mountain transect confirm vegetation draws a mix of recent precipitation and older water, including groundwater, consistent with the eddy-covariance finding.</w:t>
      </w:r>
    </w:p>
    <w:p>
      <w:pPr>
        <w:spacing w:after="160" w:line="276"/>
      </w:pPr>
      <w:r>
        <w:rPr>
          <w:rFonts w:ascii="Calibri" w:cs="Calibri" w:eastAsia="Calibri" w:hAnsi="Calibri"/>
          <w:sz w:val="22"/>
          <w:szCs w:val="22"/>
        </w:rPr>
        <w:t xml:space="preserve">Implication: ET should not be assumed to draw only from the fast/near-surface reservoir. It should be split between the fast and slow reservoirs, with the split allowed to vary by sub-basin depending on riparian extent — not treated as a single global constant.</w:t>
      </w:r>
    </w:p>
    <w:p>
      <w:pPr>
        <w:pStyle w:val="Heading2"/>
        <w:spacing w:after="120" w:before="260"/>
      </w:pPr>
      <w:r>
        <w:t xml:space="preserve">Recommended implementation</w:t>
      </w:r>
    </w:p>
    <w:p>
      <w:pPr>
        <w:pStyle w:val="ListParagraph"/>
        <w:numPr>
          <w:ilvl w:val="0"/>
          <w:numId w:val="3"/>
        </w:numPr>
        <w:spacing w:after="100" w:line="276"/>
      </w:pPr>
      <w:r>
        <w:t xml:space="preserve">Treat ET_j(t) as a forcing input, not a modeled/predicted quantity — sourced from the existing East River eddy-covariance tower record or a validated remote-sensing/land-surface-model ET product for this site, the same way precipitation and snowmelt are treated as forcings.</w:t>
      </w:r>
    </w:p>
    <w:p>
      <w:pPr>
        <w:pStyle w:val="ListParagraph"/>
        <w:numPr>
          <w:ilvl w:val="0"/>
          <w:numId w:val="3"/>
        </w:numPr>
        <w:spacing w:after="100" w:line="276"/>
      </w:pPr>
      <w:r>
        <w:t xml:space="preserve">Introduce a partition fraction α_ET,j representing the share of local ET drawn from the fast/near-surface reservoir, with (1−α_ET,j) drawn from the slow/groundwater reservoir. Given the documented summer groundwater ET dependence, α_ET,j should be sub-basin-specific (informed by riparian corridor extent) rather than fixed near 1 for all sub-basins.</w:t>
      </w:r>
    </w:p>
    <w:p>
      <w:pPr>
        <w:pStyle w:val="ListParagraph"/>
        <w:numPr>
          <w:ilvl w:val="0"/>
          <w:numId w:val="3"/>
        </w:numPr>
        <w:spacing w:after="100" w:line="276"/>
      </w:pPr>
      <w:r>
        <w:t xml:space="preserve">Do not add an ET term to the tracer mass-balance equations. Chloride is not removed by evapotranspiration — only water leaves. Because concentration is diagnosed as C = M/S, removing water while conserving tracer mass automatically produces evapoconcentration: predicted C_f and C_s should rise during high-ET, low-flow summer periods. This is a testable, literature-grounded, site-specific prediction and a legitimate source of novelty — state it explicitly in the manuscript rather than leaving it as an incidental model behavior.</w:t>
      </w:r>
    </w:p>
    <w:p>
      <w:pPr>
        <w:pStyle w:val="Heading1"/>
        <w:spacing w:after="160" w:before="320"/>
      </w:pPr>
      <w:r>
        <w:t xml:space="preserve">3. Corrected Conceptual Diagram (description)</w:t>
      </w:r>
    </w:p>
    <w:p>
      <w:pPr>
        <w:spacing w:after="160" w:line="276"/>
      </w:pPr>
      <w:r>
        <w:rPr>
          <w:rFonts w:ascii="Calibri" w:cs="Calibri" w:eastAsia="Calibri" w:hAnsi="Calibri"/>
          <w:sz w:val="22"/>
          <w:szCs w:val="22"/>
        </w:rPr>
        <w:t xml:space="preserve">Redraw Figure 1 with the following corrections:</w:t>
      </w:r>
    </w:p>
    <w:p>
      <w:pPr>
        <w:pStyle w:val="ListParagraph"/>
        <w:numPr>
          <w:ilvl w:val="0"/>
          <w:numId w:val="1"/>
        </w:numPr>
        <w:spacing w:after="90" w:line="276"/>
        <w:rPr>
          <w:rFonts w:ascii="Calibri" w:cs="Calibri" w:eastAsia="Calibri" w:hAnsi="Calibri"/>
          <w:sz w:val="22"/>
          <w:szCs w:val="22"/>
        </w:rPr>
      </w:pPr>
      <w:r>
        <w:t xml:space="preserve">Remove the “Glacier / Ice Storage” box and the GM arrow entirely.</w:t>
      </w:r>
    </w:p>
    <w:p>
      <w:pPr>
        <w:pStyle w:val="ListParagraph"/>
        <w:numPr>
          <w:ilvl w:val="0"/>
          <w:numId w:val="1"/>
        </w:numPr>
        <w:spacing w:after="90" w:line="276"/>
        <w:rPr>
          <w:rFonts w:ascii="Calibri" w:cs="Calibri" w:eastAsia="Calibri" w:hAnsi="Calibri"/>
          <w:sz w:val="22"/>
          <w:szCs w:val="22"/>
        </w:rPr>
      </w:pPr>
      <w:r>
        <w:t xml:space="preserve">Rename the direct bypass arrow (currently “Fast Flow/Surface Runoff, Q_f”) to “Ultra-fast / Surface Runoff, Q_uf” — no storage symbol, matching the equations' P_uf term.</w:t>
      </w:r>
    </w:p>
    <w:p>
      <w:pPr>
        <w:pStyle w:val="ListParagraph"/>
        <w:numPr>
          <w:ilvl w:val="0"/>
          <w:numId w:val="1"/>
        </w:numPr>
        <w:spacing w:after="90" w:line="276"/>
        <w:rPr>
          <w:rFonts w:ascii="Calibri" w:cs="Calibri" w:eastAsia="Calibri" w:hAnsi="Calibri"/>
          <w:sz w:val="22"/>
          <w:szCs w:val="22"/>
        </w:rPr>
      </w:pPr>
      <w:r>
        <w:t xml:space="preserve">Rename “Preferential Flow/Interflow (Q_p)” and “Preferential Storage (S_p)” to “Fast Flow (Q_f)” and “Fast Storage (S_f)” — matching the equations' existing S_f, Q_f terms.</w:t>
      </w:r>
    </w:p>
    <w:p>
      <w:pPr>
        <w:pStyle w:val="ListParagraph"/>
        <w:numPr>
          <w:ilvl w:val="0"/>
          <w:numId w:val="1"/>
        </w:numPr>
        <w:spacing w:after="90" w:line="276"/>
        <w:rPr>
          <w:rFonts w:ascii="Calibri" w:cs="Calibri" w:eastAsia="Calibri" w:hAnsi="Calibri"/>
          <w:sz w:val="22"/>
          <w:szCs w:val="22"/>
        </w:rPr>
      </w:pPr>
      <w:r>
        <w:t xml:space="preserve">In the “Storages (Conservation law)” legend box, list exactly two storages — Fast storage (S_f,i) and Slow storage (S_s,i) — removing the redundant, unmodeled third entry.</w:t>
      </w:r>
    </w:p>
    <w:p>
      <w:pPr>
        <w:pStyle w:val="ListParagraph"/>
        <w:numPr>
          <w:ilvl w:val="0"/>
          <w:numId w:val="1"/>
        </w:numPr>
        <w:spacing w:after="90" w:line="276"/>
        <w:rPr>
          <w:rFonts w:ascii="Calibri" w:cs="Calibri" w:eastAsia="Calibri" w:hAnsi="Calibri"/>
          <w:sz w:val="22"/>
          <w:szCs w:val="22"/>
        </w:rPr>
      </w:pPr>
      <w:r>
        <w:t xml:space="preserve">Add an ET arrow leaving both the Fast Storage and Slow Storage cylinders (not just one), labeled with the α_ET,j split, to visually match the corrected water balance equations.</w:t>
      </w:r>
    </w:p>
    <w:p>
      <w:pPr>
        <w:pStyle w:val="ListParagraph"/>
        <w:numPr>
          <w:ilvl w:val="0"/>
          <w:numId w:val="1"/>
        </w:numPr>
        <w:spacing w:after="90" w:line="276"/>
        <w:rPr>
          <w:rFonts w:ascii="Calibri" w:cs="Calibri" w:eastAsia="Calibri" w:hAnsi="Calibri"/>
          <w:sz w:val="22"/>
          <w:szCs w:val="22"/>
        </w:rPr>
      </w:pPr>
      <w:r>
        <w:t xml:space="preserve">Update the outlet equation shown in the figure to Q = Q_uf + Q_f + Q_s, matching the text exactly.</w:t>
      </w:r>
    </w:p>
    <w:p>
      <w:pPr>
        <w:pStyle w:val="ListParagraph"/>
        <w:numPr>
          <w:ilvl w:val="0"/>
          <w:numId w:val="1"/>
        </w:numPr>
        <w:spacing w:after="90" w:line="276"/>
        <w:rPr>
          <w:rFonts w:ascii="Calibri" w:cs="Calibri" w:eastAsia="Calibri" w:hAnsi="Calibri"/>
          <w:sz w:val="22"/>
          <w:szCs w:val="22"/>
        </w:rPr>
      </w:pPr>
      <w:r>
        <w:t xml:space="preserve">Keep the tracer note box, but update its wording to note that tracer mass balances are written for the fast and slow storages only, and that concentrations respond to storage changes including ET-driven evapoconcentration.</w:t>
      </w:r>
    </w:p>
    <w:p>
      <w:pPr>
        <w:pStyle w:val="Heading1"/>
        <w:spacing w:after="160" w:before="320"/>
      </w:pPr>
      <w:r>
        <w:t xml:space="preserve">4. Sub-Basin Network Topology (GIS-Confirmed)</w:t>
      </w:r>
    </w:p>
    <w:p>
      <w:pPr>
        <w:spacing w:after="160" w:line="276"/>
      </w:pPr>
      <w:r>
        <w:rPr>
          <w:rFonts w:ascii="Calibri" w:cs="Calibri" w:eastAsia="Calibri" w:hAnsi="Calibri"/>
          <w:sz w:val="22"/>
          <w:szCs w:val="22"/>
        </w:rPr>
        <w:t xml:space="preserve">East River sub-basins are nested, not independent parallel tributaries. This is not a general rule for all watersheds — it reflects how this specific river network is structured. The structure below was originally drawn from published East River modeling work (Carroll et al., 2018; Maavara et al., 2021), and has since been independently confirmed against the official GIS sub-basin delineation (Bill, Carroll, Dong &amp; Williams, ESS-DIVE) rather than resting on literature description alone.</w:t>
      </w:r>
    </w:p>
    <w:p>
      <w:pPr>
        <w:pStyle w:val="Heading2"/>
        <w:spacing w:after="120" w:before="260"/>
      </w:pPr>
      <w:r>
        <w:t xml:space="preserve">GIS confirmation</w:t>
      </w:r>
    </w:p>
    <w:p>
      <w:pPr>
        <w:spacing w:after="160" w:line="276"/>
      </w:pPr>
      <w:r>
        <w:rPr>
          <w:rFonts w:ascii="Calibri" w:cs="Calibri" w:eastAsia="Calibri" w:hAnsi="Calibri"/>
          <w:sz w:val="22"/>
          <w:szCs w:val="22"/>
        </w:rPr>
        <w:t xml:space="preserve">The delineation shapefile's attribute table carries explicit membership fields (EBCz, PHz) that directly encode which sub-basins route into which gauge — this is authoritative, not inferred from geometry or text:</w:t>
      </w:r>
    </w:p>
    <w:p>
      <w:pPr>
        <w:pStyle w:val="ListParagraph"/>
        <w:numPr>
          <w:ilvl w:val="0"/>
          <w:numId w:val="1"/>
        </w:numPr>
        <w:spacing w:after="90" w:line="276"/>
        <w:rPr>
          <w:rFonts w:ascii="Calibri" w:cs="Calibri" w:eastAsia="Calibri" w:hAnsi="Calibri"/>
          <w:sz w:val="22"/>
          <w:szCs w:val="22"/>
        </w:rPr>
      </w:pPr>
      <w:r>
        <w:t xml:space="preserve">EBCz = 1 for Rustlers Gulch, Copper Creek, EAQ, and all minor tributaries (Avery, Marmot, Bradley, Rock, Quigley) plus EBC's own local area — confirming all of these route into the EBC/ME gauge, exactly as U(ME) = {Rustlers, Copper, EAQ} assumes.</w:t>
      </w:r>
    </w:p>
    <w:p>
      <w:pPr>
        <w:pStyle w:val="ListParagraph"/>
        <w:numPr>
          <w:ilvl w:val="0"/>
          <w:numId w:val="1"/>
        </w:numPr>
        <w:spacing w:after="90" w:line="276"/>
        <w:rPr>
          <w:rFonts w:ascii="Calibri" w:cs="Calibri" w:eastAsia="Calibri" w:hAnsi="Calibri"/>
          <w:sz w:val="22"/>
          <w:szCs w:val="22"/>
        </w:rPr>
      </w:pPr>
      <w:r>
        <w:t xml:space="preserve">EBCz = 2 for Pumphouse only — confirming Pumphouse is its own separate, downstream zone rather than part of EBC's contributing area.</w:t>
      </w:r>
    </w:p>
    <w:p>
      <w:pPr>
        <w:pStyle w:val="ListParagraph"/>
        <w:numPr>
          <w:ilvl w:val="0"/>
          <w:numId w:val="1"/>
        </w:numPr>
        <w:spacing w:after="90" w:line="276"/>
        <w:rPr>
          <w:rFonts w:ascii="Calibri" w:cs="Calibri" w:eastAsia="Calibri" w:hAnsi="Calibri"/>
          <w:sz w:val="22"/>
          <w:szCs w:val="22"/>
        </w:rPr>
      </w:pPr>
      <w:r>
        <w:t xml:space="preserve">PHz = 1 for all 11 sub-basins — confirming everything ultimately routes to the Pumphouse outlet, consistent with U(LT) = {ME}.</w:t>
      </w:r>
    </w:p>
    <w:p>
      <w:pPr>
        <w:spacing w:after="160" w:line="276"/>
      </w:pPr>
      <w:r>
        <w:rPr>
          <w:rFonts w:ascii="Calibri" w:cs="Calibri" w:eastAsia="Calibri" w:hAnsi="Calibri"/>
          <w:sz w:val="22"/>
          <w:szCs w:val="22"/>
        </w:rPr>
        <w:t xml:space="preserve">As an independent cross-check, the 11 incremental (non-overlapping) sub-basin areas in the shapefile sum to 84.66 km², matching the East River watershed's published area of “nearly 85 square km” (Tran et al., 2019) — confirming these are genuinely incremental areas suited to the routing equations below, not overlapping cumulative ones that would require different treatment.</w:t>
      </w:r>
    </w:p>
    <w:p>
      <w:pPr>
        <w:pStyle w:val="Heading2"/>
        <w:spacing w:after="120" w:before="260"/>
      </w:pPr>
      <w:r>
        <w:t xml:space="preserve">Sub-basin areas (from GIS attribute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520"/>
      </w:tblGrid>
      <w:tr>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Sub-basin</w:t>
            </w:r>
          </w:p>
        </w:tc>
        <w:tc>
          <w:tcPr>
            <w:tcW w:type="dxa" w:w="20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Area (km²)</w:t>
            </w:r>
          </w:p>
        </w:tc>
        <w:tc>
          <w:tcPr>
            <w:tcW w:type="dxa" w:w="452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Role in model</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Copper</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23.67</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 node — headwater tributary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Pumphouse</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14.86</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 node — watershed outlet (LT)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Rustlers</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14.78</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 node — headwater tributary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EBC</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14.27</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 node — ME reach, receives Rustlers/Copper/EAQ</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EAQ</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5.27</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Model node — headwater tributary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Bradley</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3.82</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nested within EBC's local area</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Rock</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3.57</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nested within EBC's local area</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Quigley</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2.55</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nested within EBC's local area</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Gothic</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0.90</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 distinct location, not the EBC gauge (see note below)</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Avery</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0.60</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nested within EBC's local area</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Marmot</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0.38</w:t>
            </w:r>
          </w:p>
        </w:tc>
        <w:tc>
          <w:tcPr>
            <w:tcW w:type="dxa" w:w="4520"/>
            <w:tcMar>
              <w:top w:type="dxa" w:w="100"/>
              <w:left w:type="dxa" w:w="120"/>
              <w:bottom w:type="dxa" w:w="100"/>
              <w:right w:type="dxa" w:w="120"/>
            </w:tcMar>
          </w:tcPr>
          <w:p>
            <w:r>
              <w:rPr>
                <w:rFonts w:ascii="Calibri" w:cs="Calibri" w:eastAsia="Calibri" w:hAnsi="Calibri"/>
                <w:b w:val="false"/>
                <w:bCs w:val="false"/>
                <w:color w:val="000000"/>
                <w:sz w:val="20"/>
                <w:szCs w:val="20"/>
              </w:rPr>
              <w:t xml:space="preserve">Minor tributary, nested within EBC's local area</w:t>
            </w:r>
          </w:p>
        </w:tc>
      </w:tr>
    </w:tbl>
    <w:p>
      <w:pPr>
        <w:spacing w:after="160" w:line="276"/>
      </w:pPr>
      <w:r>
        <w:rPr>
          <w:rFonts w:ascii="Calibri" w:cs="Calibri" w:eastAsia="Calibri" w:hAnsi="Calibri"/>
          <w:b/>
          <w:bCs/>
          <w:sz w:val="22"/>
          <w:szCs w:val="22"/>
        </w:rPr>
        <w:t xml:space="preserve">Note on “Gothic” naming: </w:t>
      </w:r>
      <w:r>
        <w:rPr>
          <w:rFonts w:ascii="Calibri" w:cs="Calibri" w:eastAsia="Calibri" w:hAnsi="Calibri"/>
          <w:sz w:val="22"/>
          <w:szCs w:val="22"/>
        </w:rPr>
        <w:t xml:space="preserve">the shapefile contains a small (0.90 km²), separately-named “Gothic” polygon located ~2.3 km west of the actual Gothic townsite/RMBL coordinates. This is a distinct minor tributary catchment, not the EBC gauge. The Gothic_ME discharge series used throughout this project (the site historically named “Gothic_discharge.xlsx”) was confirmed via its coordinates (Section on locations.csv) to sit at the true townsite location, matching ER-EBC1 — the naming overlap between the historical discharge file and this shapefile's separate “Gothic” tributary is coincidental, not an error in the discharge series.</w:t>
      </w:r>
    </w:p>
    <w:p>
      <w:pPr>
        <w:pStyle w:val="Heading2"/>
        <w:spacing w:after="120" w:before="260"/>
      </w:pPr>
      <w:r>
        <w:t xml:space="preserve">Adopted network structure</w:t>
      </w:r>
    </w:p>
    <w:p>
      <w:pPr>
        <w:pStyle w:val="ListParagraph"/>
        <w:numPr>
          <w:ilvl w:val="0"/>
          <w:numId w:val="1"/>
        </w:numPr>
        <w:spacing w:after="90" w:line="276"/>
        <w:rPr>
          <w:rFonts w:ascii="Calibri" w:cs="Calibri" w:eastAsia="Calibri" w:hAnsi="Calibri"/>
          <w:sz w:val="22"/>
          <w:szCs w:val="22"/>
        </w:rPr>
      </w:pPr>
      <w:r>
        <w:t xml:space="preserve">Rustlers Gulch — headwater tributary sub-basin (no upstream inflow)</w:t>
      </w:r>
    </w:p>
    <w:p>
      <w:pPr>
        <w:pStyle w:val="ListParagraph"/>
        <w:numPr>
          <w:ilvl w:val="0"/>
          <w:numId w:val="1"/>
        </w:numPr>
        <w:spacing w:after="90" w:line="276"/>
        <w:rPr>
          <w:rFonts w:ascii="Calibri" w:cs="Calibri" w:eastAsia="Calibri" w:hAnsi="Calibri"/>
          <w:sz w:val="22"/>
          <w:szCs w:val="22"/>
        </w:rPr>
      </w:pPr>
      <w:r>
        <w:t xml:space="preserve">Copper Creek — headwater tributary sub-basin (no upstream inflow)</w:t>
      </w:r>
    </w:p>
    <w:p>
      <w:pPr>
        <w:pStyle w:val="ListParagraph"/>
        <w:numPr>
          <w:ilvl w:val="0"/>
          <w:numId w:val="1"/>
        </w:numPr>
        <w:spacing w:after="90" w:line="276"/>
        <w:rPr>
          <w:rFonts w:ascii="Calibri" w:cs="Calibri" w:eastAsia="Calibri" w:hAnsi="Calibri"/>
          <w:sz w:val="22"/>
          <w:szCs w:val="22"/>
        </w:rPr>
      </w:pPr>
      <w:r>
        <w:t xml:space="preserve">East above Quigley (EAQ) — East River mainstem headwaters, upstream of the Quigley Creek confluence (no upstream inflow)</w:t>
      </w:r>
    </w:p>
    <w:p>
      <w:pPr>
        <w:pStyle w:val="ListParagraph"/>
        <w:numPr>
          <w:ilvl w:val="0"/>
          <w:numId w:val="1"/>
        </w:numPr>
        <w:spacing w:after="90" w:line="276"/>
        <w:rPr>
          <w:rFonts w:ascii="Calibri" w:cs="Calibri" w:eastAsia="Calibri" w:hAnsi="Calibri"/>
          <w:sz w:val="22"/>
          <w:szCs w:val="22"/>
        </w:rPr>
      </w:pPr>
      <w:r>
        <w:t xml:space="preserve">Middle East River (ME) — the reach from EAQ down to RMBL; receives the combined routed outflow of EAQ, Rustlers Gulch, and Copper Creek, plus its own local drainage (including the minor tributaries Avery, Marmot, Bradley, Rock, Quigley, and Gothic Creeks)</w:t>
      </w:r>
    </w:p>
    <w:p>
      <w:pPr>
        <w:pStyle w:val="ListParagraph"/>
        <w:numPr>
          <w:ilvl w:val="0"/>
          <w:numId w:val="1"/>
        </w:numPr>
        <w:spacing w:after="90" w:line="276"/>
        <w:rPr>
          <w:rFonts w:ascii="Calibri" w:cs="Calibri" w:eastAsia="Calibri" w:hAnsi="Calibri"/>
          <w:sz w:val="22"/>
          <w:szCs w:val="22"/>
        </w:rPr>
      </w:pPr>
      <w:r>
        <w:t xml:space="preserve">Lower Triangle (LT) — from RMBL/Gothic down to the Pumphouse gauge; receives ME's routed outflow plus its own local drainage. LT's total discharge is the watershed outlet.</w:t>
      </w:r>
    </w:p>
    <w:p>
      <w:pPr>
        <w:spacing w:after="160" w:line="276"/>
      </w:pPr>
      <w:r>
        <w:rPr>
          <w:rFonts w:ascii="Calibri" w:cs="Calibri" w:eastAsia="Calibri" w:hAnsi="Calibri"/>
          <w:sz w:val="22"/>
          <w:szCs w:val="22"/>
        </w:rPr>
        <w:t xml:space="preserve">Formally, define an upstream set U(j) for each sub-basin j = {Rustlers Gulch, Copper Creek, EAQ, ME, LT}:</w:t>
      </w:r>
    </w:p>
    <w:p>
      <w:pPr>
        <w:spacing w:after="200" w:before="80"/>
        <w:jc w:val="center"/>
      </w:pPr>
      <w:r>
        <w:rPr>
          <w:rFonts w:ascii="Cambria Math" w:cs="Cambria Math" w:eastAsia="Cambria Math" w:hAnsi="Cambria Math"/>
          <w:i/>
          <w:iCs/>
          <w:sz w:val="24"/>
          <w:szCs w:val="24"/>
        </w:rPr>
        <w:t xml:space="preserve">U(Rustlers), U(Copper), U(EAQ) = ∅</w:t>
      </w:r>
    </w:p>
    <w:p>
      <w:pPr>
        <w:spacing w:after="200" w:before="80"/>
        <w:jc w:val="center"/>
      </w:pPr>
      <w:r>
        <w:rPr>
          <w:rFonts w:ascii="Cambria Math" w:cs="Cambria Math" w:eastAsia="Cambria Math" w:hAnsi="Cambria Math"/>
          <w:i/>
          <w:iCs/>
          <w:sz w:val="24"/>
          <w:szCs w:val="24"/>
        </w:rPr>
        <w:t xml:space="preserve">U(ME) = {Rustlers, Copper, EAQ}</w:t>
      </w:r>
    </w:p>
    <w:p>
      <w:pPr>
        <w:spacing w:after="200" w:before="80"/>
        <w:jc w:val="center"/>
      </w:pPr>
      <w:r>
        <w:rPr>
          <w:rFonts w:ascii="Cambria Math" w:cs="Cambria Math" w:eastAsia="Cambria Math" w:hAnsi="Cambria Math"/>
          <w:i/>
          <w:iCs/>
          <w:sz w:val="24"/>
          <w:szCs w:val="24"/>
        </w:rPr>
        <w:t xml:space="preserve">U(LT) = {ME}</w:t>
      </w:r>
    </w:p>
    <w:p>
      <w:pPr>
        <w:pStyle w:val="Heading2"/>
        <w:spacing w:after="120" w:before="260"/>
      </w:pPr>
      <w:r>
        <w:t xml:space="preserve">Routed discharge and tracer flux</w:t>
      </w:r>
    </w:p>
    <w:p>
      <w:pPr>
        <w:spacing w:after="160" w:line="276"/>
      </w:pPr>
      <w:r>
        <w:rPr>
          <w:rFonts w:ascii="Calibri" w:cs="Calibri" w:eastAsia="Calibri" w:hAnsi="Calibri"/>
          <w:sz w:val="22"/>
          <w:szCs w:val="22"/>
        </w:rPr>
        <w:t xml:space="preserve">Local generation at each sub-basin (unchanged from Section 5):</w:t>
      </w:r>
    </w:p>
    <w:p>
      <w:pPr>
        <w:spacing w:after="200" w:before="80"/>
        <w:jc w:val="center"/>
      </w:pPr>
      <w:r>
        <w:rPr>
          <w:rFonts w:ascii="Cambria Math" w:cs="Cambria Math" w:eastAsia="Cambria Math" w:hAnsi="Cambria Math"/>
          <w:i/>
          <w:iCs/>
          <w:sz w:val="24"/>
          <w:szCs w:val="24"/>
        </w:rPr>
        <w:t xml:space="preserve">Q</w:t>
      </w:r>
      <w:r>
        <w:rPr>
          <w:rFonts w:ascii="Cambria Math" w:cs="Cambria Math" w:eastAsia="Cambria Math" w:hAnsi="Cambria Math"/>
          <w:i/>
          <w:iCs/>
          <w:sz w:val="24"/>
          <w:szCs w:val="24"/>
          <w:vertAlign w:val="subscript"/>
        </w:rPr>
        <w:t xml:space="preserve">loc,j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uf,j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w:t>
      </w:r>
    </w:p>
    <w:p>
      <w:pPr>
        <w:spacing w:after="160" w:line="276"/>
      </w:pPr>
      <w:r>
        <w:rPr>
          <w:rFonts w:ascii="Calibri" w:cs="Calibri" w:eastAsia="Calibri" w:hAnsi="Calibri"/>
          <w:sz w:val="22"/>
          <w:szCs w:val="22"/>
        </w:rPr>
        <w:t xml:space="preserve">Total discharge at sub-basin j's gauge, accounting for routed upstream inflow (assumes negligible channel travel-time lag relative to the model time step — see caveat below):</w:t>
      </w:r>
    </w:p>
    <w:p>
      <w:pPr>
        <w:spacing w:after="200" w:before="80"/>
        <w:jc w:val="center"/>
      </w:pPr>
      <w:r>
        <w:rPr>
          <w:rFonts w:ascii="Cambria Math" w:cs="Cambria Math" w:eastAsia="Cambria Math" w:hAnsi="Cambria Math"/>
          <w:i/>
          <w:iCs/>
          <w:sz w:val="24"/>
          <w:szCs w:val="24"/>
        </w:rPr>
        <w:t xml:space="preserve">Q</w:t>
      </w:r>
      <w:r>
        <w:rPr>
          <w:rFonts w:ascii="Cambria Math" w:cs="Cambria Math" w:eastAsia="Cambria Math" w:hAnsi="Cambria Math"/>
          <w:i/>
          <w:iCs/>
          <w:sz w:val="24"/>
          <w:szCs w:val="24"/>
          <w:vertAlign w:val="subscript"/>
        </w:rPr>
        <w:t xml:space="preserve">tot,j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loc,j</w:t>
      </w:r>
      <w:r>
        <w:rPr>
          <w:rFonts w:ascii="Cambria Math" w:cs="Cambria Math" w:eastAsia="Cambria Math" w:hAnsi="Cambria Math"/>
          <w:i/>
          <w:iCs/>
          <w:sz w:val="24"/>
          <w:szCs w:val="24"/>
        </w:rPr>
        <w:t xml:space="preserve">(t) + Σ</w:t>
      </w:r>
      <w:r>
        <w:rPr>
          <w:rFonts w:ascii="Cambria Math" w:cs="Cambria Math" w:eastAsia="Cambria Math" w:hAnsi="Cambria Math"/>
          <w:i/>
          <w:iCs/>
          <w:sz w:val="24"/>
          <w:szCs w:val="24"/>
          <w:vertAlign w:val="subscript"/>
        </w:rPr>
        <w:t xml:space="preserve">u∈U(j)</w:t>
      </w:r>
      <w:r>
        <w:rPr>
          <w:rFonts w:ascii="Cambria Math" w:cs="Cambria Math" w:eastAsia="Cambria Math" w:hAnsi="Cambria Math"/>
          <w:i/>
          <w:iCs/>
          <w:sz w:val="24"/>
          <w:szCs w:val="24"/>
        </w:rPr>
        <w:t xml:space="preserve"> Q</w:t>
      </w:r>
      <w:r>
        <w:rPr>
          <w:rFonts w:ascii="Cambria Math" w:cs="Cambria Math" w:eastAsia="Cambria Math" w:hAnsi="Cambria Math"/>
          <w:i/>
          <w:iCs/>
          <w:sz w:val="24"/>
          <w:szCs w:val="24"/>
          <w:vertAlign w:val="subscript"/>
        </w:rPr>
        <w:t xml:space="preserve">tot,u</w:t>
      </w:r>
      <w:r>
        <w:rPr>
          <w:rFonts w:ascii="Cambria Math" w:cs="Cambria Math" w:eastAsia="Cambria Math" w:hAnsi="Cambria Math"/>
          <w:i/>
          <w:iCs/>
          <w:sz w:val="24"/>
          <w:szCs w:val="24"/>
        </w:rPr>
        <w:t xml:space="preserve">(t)</w:t>
      </w:r>
    </w:p>
    <w:p>
      <w:pPr>
        <w:spacing w:after="160" w:line="276"/>
      </w:pPr>
      <w:r>
        <w:rPr>
          <w:rFonts w:ascii="Calibri" w:cs="Calibri" w:eastAsia="Calibri" w:hAnsi="Calibri"/>
          <w:sz w:val="22"/>
          <w:szCs w:val="22"/>
        </w:rPr>
        <w:t xml:space="preserve">Local tracer mass flux and total (routed) tracer mass flux, mixed conservatively at each confluence:</w:t>
      </w:r>
    </w:p>
    <w:p>
      <w:pPr>
        <w:spacing w:after="200" w:before="80"/>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loc,j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uf,j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in,j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w:t>
      </w:r>
    </w:p>
    <w:p>
      <w:pPr>
        <w:spacing w:after="200" w:before="80"/>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tot,j</w:t>
      </w:r>
      <w:r>
        <w:rPr>
          <w:rFonts w:ascii="Cambria Math" w:cs="Cambria Math" w:eastAsia="Cambria Math" w:hAnsi="Cambria Math"/>
          <w:i/>
          <w:iCs/>
          <w:sz w:val="24"/>
          <w:szCs w:val="24"/>
        </w:rPr>
        <w:t xml:space="preserve">(t) = Φ</w:t>
      </w:r>
      <w:r>
        <w:rPr>
          <w:rFonts w:ascii="Cambria Math" w:cs="Cambria Math" w:eastAsia="Cambria Math" w:hAnsi="Cambria Math"/>
          <w:i/>
          <w:iCs/>
          <w:sz w:val="24"/>
          <w:szCs w:val="24"/>
          <w:vertAlign w:val="subscript"/>
        </w:rPr>
        <w:t xml:space="preserve">loc,j</w:t>
      </w:r>
      <w:r>
        <w:rPr>
          <w:rFonts w:ascii="Cambria Math" w:cs="Cambria Math" w:eastAsia="Cambria Math" w:hAnsi="Cambria Math"/>
          <w:i/>
          <w:iCs/>
          <w:sz w:val="24"/>
          <w:szCs w:val="24"/>
        </w:rPr>
        <w:t xml:space="preserve">(t) + Σ</w:t>
      </w:r>
      <w:r>
        <w:rPr>
          <w:rFonts w:ascii="Cambria Math" w:cs="Cambria Math" w:eastAsia="Cambria Math" w:hAnsi="Cambria Math"/>
          <w:i/>
          <w:iCs/>
          <w:sz w:val="24"/>
          <w:szCs w:val="24"/>
          <w:vertAlign w:val="subscript"/>
        </w:rPr>
        <w:t xml:space="preserve">u∈U(j)</w:t>
      </w:r>
      <w:r>
        <w:rPr>
          <w:rFonts w:ascii="Cambria Math" w:cs="Cambria Math" w:eastAsia="Cambria Math" w:hAnsi="Cambria Math"/>
          <w:i/>
          <w:iCs/>
          <w:sz w:val="24"/>
          <w:szCs w:val="24"/>
        </w:rPr>
        <w:t xml:space="preserve"> Φ</w:t>
      </w:r>
      <w:r>
        <w:rPr>
          <w:rFonts w:ascii="Cambria Math" w:cs="Cambria Math" w:eastAsia="Cambria Math" w:hAnsi="Cambria Math"/>
          <w:i/>
          <w:iCs/>
          <w:sz w:val="24"/>
          <w:szCs w:val="24"/>
          <w:vertAlign w:val="subscript"/>
        </w:rPr>
        <w:t xml:space="preserve">tot,u</w:t>
      </w:r>
      <w:r>
        <w:rPr>
          <w:rFonts w:ascii="Cambria Math" w:cs="Cambria Math" w:eastAsia="Cambria Math" w:hAnsi="Cambria Math"/>
          <w:i/>
          <w:iCs/>
          <w:sz w:val="24"/>
          <w:szCs w:val="24"/>
        </w:rPr>
        <w:t xml:space="preserve">(t)</w:t>
      </w:r>
    </w:p>
    <w:p>
      <w:pPr>
        <w:spacing w:after="160" w:line="276"/>
      </w:pPr>
      <w:r>
        <w:rPr>
          <w:rFonts w:ascii="Calibri" w:cs="Calibri" w:eastAsia="Calibri" w:hAnsi="Calibri"/>
          <w:sz w:val="22"/>
          <w:szCs w:val="22"/>
        </w:rPr>
        <w:t xml:space="preserve">Concentration at each gauge is recovered as the flux-weighted mix, not summed directly:</w:t>
      </w:r>
    </w:p>
    <w:p>
      <w:pPr>
        <w:spacing w:after="200" w:before="80"/>
        <w:jc w:val="center"/>
      </w:pPr>
      <w:r>
        <w:rPr>
          <w:rFonts w:ascii="Cambria Math" w:cs="Cambria Math" w:eastAsia="Cambria Math" w:hAnsi="Cambria Math"/>
          <w:i/>
          <w:iCs/>
          <w:sz w:val="24"/>
          <w:szCs w:val="24"/>
        </w:rPr>
        <w:t xml:space="preserve">C</w:t>
      </w:r>
      <w:r>
        <w:rPr>
          <w:rFonts w:ascii="Cambria Math" w:cs="Cambria Math" w:eastAsia="Cambria Math" w:hAnsi="Cambria Math"/>
          <w:i/>
          <w:iCs/>
          <w:sz w:val="24"/>
          <w:szCs w:val="24"/>
          <w:vertAlign w:val="subscript"/>
        </w:rPr>
        <w:t xml:space="preserve">tot,j</w:t>
      </w:r>
      <w:r>
        <w:rPr>
          <w:rFonts w:ascii="Cambria Math" w:cs="Cambria Math" w:eastAsia="Cambria Math" w:hAnsi="Cambria Math"/>
          <w:i/>
          <w:iCs/>
          <w:sz w:val="24"/>
          <w:szCs w:val="24"/>
        </w:rPr>
        <w:t xml:space="preserve">(t) = Φ</w:t>
      </w:r>
      <w:r>
        <w:rPr>
          <w:rFonts w:ascii="Cambria Math" w:cs="Cambria Math" w:eastAsia="Cambria Math" w:hAnsi="Cambria Math"/>
          <w:i/>
          <w:iCs/>
          <w:sz w:val="24"/>
          <w:szCs w:val="24"/>
          <w:vertAlign w:val="subscript"/>
        </w:rPr>
        <w:t xml:space="preserve">tot,j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tot,j</w:t>
      </w:r>
      <w:r>
        <w:rPr>
          <w:rFonts w:ascii="Cambria Math" w:cs="Cambria Math" w:eastAsia="Cambria Math" w:hAnsi="Cambria Math"/>
          <w:i/>
          <w:iCs/>
          <w:sz w:val="24"/>
          <w:szCs w:val="24"/>
        </w:rPr>
        <w:t xml:space="preserve">(t)</w:t>
      </w:r>
    </w:p>
    <w:p>
      <w:pPr>
        <w:spacing w:after="160" w:line="276"/>
      </w:pPr>
      <w:r>
        <w:rPr>
          <w:rFonts w:ascii="Calibri" w:cs="Calibri" w:eastAsia="Calibri" w:hAnsi="Calibri"/>
          <w:sz w:val="22"/>
          <w:szCs w:val="22"/>
        </w:rPr>
        <w:t xml:space="preserve">Watershed outlet (Lower Triangle / Pumphouse):</w:t>
      </w:r>
    </w:p>
    <w:p>
      <w:pPr>
        <w:spacing w:after="200" w:before="80"/>
        <w:jc w:val="center"/>
      </w:pPr>
      <w:r>
        <w:rPr>
          <w:rFonts w:ascii="Cambria Math" w:cs="Cambria Math" w:eastAsia="Cambria Math" w:hAnsi="Cambria Math"/>
          <w:i/>
          <w:iCs/>
          <w:sz w:val="24"/>
          <w:szCs w:val="24"/>
        </w:rPr>
        <w:t xml:space="preserve">Q</w:t>
      </w:r>
      <w:r>
        <w:rPr>
          <w:rFonts w:ascii="Cambria Math" w:cs="Cambria Math" w:eastAsia="Cambria Math" w:hAnsi="Cambria Math"/>
          <w:i/>
          <w:iCs/>
          <w:sz w:val="24"/>
          <w:szCs w:val="24"/>
          <w:vertAlign w:val="subscript"/>
        </w:rPr>
        <w:t xml:space="preserve">out</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tot,LT</w:t>
      </w:r>
      <w:r>
        <w:rPr>
          <w:rFonts w:ascii="Cambria Math" w:cs="Cambria Math" w:eastAsia="Cambria Math" w:hAnsi="Cambria Math"/>
          <w:i/>
          <w:iCs/>
          <w:sz w:val="24"/>
          <w:szCs w:val="24"/>
        </w:rPr>
        <w:t xml:space="preserve">(t)          C</w:t>
      </w:r>
      <w:r>
        <w:rPr>
          <w:rFonts w:ascii="Cambria Math" w:cs="Cambria Math" w:eastAsia="Cambria Math" w:hAnsi="Cambria Math"/>
          <w:i/>
          <w:iCs/>
          <w:sz w:val="24"/>
          <w:szCs w:val="24"/>
          <w:vertAlign w:val="subscript"/>
        </w:rPr>
        <w:t xml:space="preserve">out</w:t>
      </w:r>
      <w:r>
        <w:rPr>
          <w:rFonts w:ascii="Cambria Math" w:cs="Cambria Math" w:eastAsia="Cambria Math" w:hAnsi="Cambria Math"/>
          <w:i/>
          <w:iCs/>
          <w:sz w:val="24"/>
          <w:szCs w:val="24"/>
        </w:rPr>
        <w:t xml:space="preserve"> model(t) = C</w:t>
      </w:r>
      <w:r>
        <w:rPr>
          <w:rFonts w:ascii="Cambria Math" w:cs="Cambria Math" w:eastAsia="Cambria Math" w:hAnsi="Cambria Math"/>
          <w:i/>
          <w:iCs/>
          <w:sz w:val="24"/>
          <w:szCs w:val="24"/>
          <w:vertAlign w:val="subscript"/>
        </w:rPr>
        <w:t xml:space="preserve">tot,LT</w:t>
      </w:r>
      <w:r>
        <w:rPr>
          <w:rFonts w:ascii="Cambria Math" w:cs="Cambria Math" w:eastAsia="Cambria Math" w:hAnsi="Cambria Math"/>
          <w:i/>
          <w:iCs/>
          <w:sz w:val="24"/>
          <w:szCs w:val="24"/>
        </w:rPr>
        <w:t xml:space="preserve">(t)</w:t>
      </w:r>
    </w:p>
    <w:p>
      <w:pPr>
        <w:spacing w:after="160" w:line="276"/>
      </w:pPr>
      <w:r>
        <w:rPr>
          <w:rFonts w:ascii="Calibri" w:cs="Calibri" w:eastAsia="Calibri" w:hAnsi="Calibri"/>
          <w:b/>
          <w:bCs/>
          <w:sz w:val="22"/>
          <w:szCs w:val="22"/>
        </w:rPr>
        <w:t xml:space="preserve">Practical benefit: </w:t>
      </w:r>
      <w:r>
        <w:rPr>
          <w:rFonts w:ascii="Calibri" w:cs="Calibri" w:eastAsia="Calibri" w:hAnsi="Calibri"/>
          <w:sz w:val="22"/>
          <w:szCs w:val="22"/>
        </w:rPr>
        <w:t xml:space="preserve">this structure gives you real observed discharge and chloride data at four internal gauges (Rustlers Gulch, Copper Creek, EAQ, ME) in addition to the Pumphouse outlet — substantially more validation and identifiability leverage than a single-outlet fit, and directly useful for RQ3 (identifiability) and RQ4 (generalization across sub-basins) from the literature framing document.</w:t>
      </w:r>
    </w:p>
    <w:p>
      <w:pPr>
        <w:spacing w:after="160" w:line="276"/>
      </w:pPr>
      <w:r>
        <w:rPr>
          <w:rFonts w:ascii="Calibri" w:cs="Calibri" w:eastAsia="Calibri" w:hAnsi="Calibri"/>
          <w:b/>
          <w:bCs/>
          <w:sz w:val="22"/>
          <w:szCs w:val="22"/>
        </w:rPr>
        <w:t xml:space="preserve">Caveat: </w:t>
      </w:r>
      <w:r>
        <w:rPr>
          <w:rFonts w:ascii="Calibri" w:cs="Calibri" w:eastAsia="Calibri" w:hAnsi="Calibri"/>
          <w:sz w:val="22"/>
          <w:szCs w:val="22"/>
        </w:rPr>
        <w:t xml:space="preserve">the routing above assumes negligible channel travel-time lag between confluences relative to the model's time step — reasonable for a headwater network with short reach lengths at a daily timestep, but worth stating explicitly and revisiting if you move to sub-daily resolution. If needed later, replace the direct summation with a simple lagged/convolution routing term without changing the local generation equations.</w:t>
      </w:r>
    </w:p>
    <w:p>
      <w:pPr>
        <w:pStyle w:val="Heading1"/>
        <w:spacing w:after="160" w:before="320"/>
      </w:pPr>
      <w:r>
        <w:t xml:space="preserve">5. Corrected Governing Equations</w:t>
      </w:r>
    </w:p>
    <w:p>
      <w:pPr>
        <w:pStyle w:val="Heading2"/>
        <w:spacing w:after="120" w:before="260"/>
      </w:pPr>
      <w:r>
        <w:t xml:space="preserve">5.1 Effective Water Input (glacier term removed)</w:t>
      </w:r>
    </w:p>
    <w:p>
      <w:pPr>
        <w:spacing w:after="200" w:before="80"/>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e,j</w:t>
      </w:r>
      <w:r>
        <w:rPr>
          <w:rFonts w:ascii="Cambria Math" w:cs="Cambria Math" w:eastAsia="Cambria Math" w:hAnsi="Cambria Math"/>
          <w:i/>
          <w:iCs/>
          <w:sz w:val="24"/>
          <w:szCs w:val="24"/>
        </w:rPr>
        <w:t xml:space="preserve">(t) = P</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 + SM</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w:t>
      </w:r>
    </w:p>
    <w:p>
      <w:pPr>
        <w:pStyle w:val="Heading2"/>
        <w:spacing w:after="120" w:before="260"/>
      </w:pPr>
      <w:r>
        <w:t xml:space="preserve">5.2 Partitioning</w:t>
      </w:r>
    </w:p>
    <w:p>
      <w:pPr>
        <w:spacing w:after="200" w:before="80"/>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e,j</w:t>
      </w:r>
      <w:r>
        <w:rPr>
          <w:rFonts w:ascii="Cambria Math" w:cs="Cambria Math" w:eastAsia="Cambria Math" w:hAnsi="Cambria Math"/>
          <w:i/>
          <w:iCs/>
          <w:sz w:val="24"/>
          <w:szCs w:val="24"/>
        </w:rPr>
        <w:t xml:space="preserve">(t) = P</w:t>
      </w:r>
      <w:r>
        <w:rPr>
          <w:rFonts w:ascii="Cambria Math" w:cs="Cambria Math" w:eastAsia="Cambria Math" w:hAnsi="Cambria Math"/>
          <w:i/>
          <w:iCs/>
          <w:sz w:val="24"/>
          <w:szCs w:val="24"/>
          <w:vertAlign w:val="subscript"/>
        </w:rPr>
        <w:t xml:space="preserve">uf,j</w:t>
      </w:r>
      <w:r>
        <w:rPr>
          <w:rFonts w:ascii="Cambria Math" w:cs="Cambria Math" w:eastAsia="Cambria Math" w:hAnsi="Cambria Math"/>
          <w:i/>
          <w:iCs/>
          <w:sz w:val="24"/>
          <w:szCs w:val="24"/>
        </w:rPr>
        <w:t xml:space="preserve">(t) + I</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w:t>
      </w:r>
    </w:p>
    <w:p>
      <w:pPr>
        <w:spacing w:after="200" w:before="80"/>
        <w:jc w:val="center"/>
      </w:pPr>
      <w:r>
        <w:rPr>
          <w:rFonts w:ascii="Cambria Math" w:cs="Cambria Math" w:eastAsia="Cambria Math" w:hAnsi="Cambria Math"/>
          <w:i/>
          <w:iCs/>
          <w:sz w:val="24"/>
          <w:szCs w:val="24"/>
        </w:rPr>
        <w:t xml:space="preserve">I</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 = I</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R</w:t>
      </w:r>
      <w:r>
        <w:rPr>
          <w:rFonts w:ascii="Cambria Math" w:cs="Cambria Math" w:eastAsia="Cambria Math" w:hAnsi="Cambria Math"/>
          <w:i/>
          <w:iCs/>
          <w:sz w:val="24"/>
          <w:szCs w:val="24"/>
          <w:vertAlign w:val="subscript"/>
        </w:rPr>
        <w:t xml:space="preserve">g,j</w:t>
      </w:r>
      <w:r>
        <w:rPr>
          <w:rFonts w:ascii="Cambria Math" w:cs="Cambria Math" w:eastAsia="Cambria Math" w:hAnsi="Cambria Math"/>
          <w:i/>
          <w:iCs/>
          <w:sz w:val="24"/>
          <w:szCs w:val="24"/>
        </w:rPr>
        <w:t xml:space="preserve">(t)</w:t>
      </w:r>
    </w:p>
    <w:p>
      <w:pPr>
        <w:pStyle w:val="Heading2"/>
        <w:spacing w:after="120" w:before="260"/>
      </w:pPr>
      <w:r>
        <w:t xml:space="preserve">5.3 Water Balance ODEs (ET explicit, split between reservoirs)</w:t>
      </w:r>
    </w:p>
    <w:p>
      <w:pPr>
        <w:spacing w:after="200" w:before="80"/>
        <w:jc w:val="center"/>
      </w:pPr>
      <w:r>
        <w:rPr>
          <w:rFonts w:ascii="Cambria Math" w:cs="Cambria Math" w:eastAsia="Cambria Math" w:hAnsi="Cambria Math"/>
          <w:i/>
          <w:iCs/>
          <w:sz w:val="24"/>
          <w:szCs w:val="24"/>
        </w:rPr>
        <w:t xml:space="preserve">dS</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/dt = I</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α</w:t>
      </w:r>
      <w:r>
        <w:rPr>
          <w:rFonts w:ascii="Cambria Math" w:cs="Cambria Math" w:eastAsia="Cambria Math" w:hAnsi="Cambria Math"/>
          <w:i/>
          <w:iCs/>
          <w:sz w:val="24"/>
          <w:szCs w:val="24"/>
          <w:vertAlign w:val="subscript"/>
        </w:rPr>
        <w:t xml:space="preserve">ET,j</w:t>
      </w:r>
      <w:r>
        <w:rPr>
          <w:rFonts w:ascii="Cambria Math" w:cs="Cambria Math" w:eastAsia="Cambria Math" w:hAnsi="Cambria Math"/>
          <w:i/>
          <w:iCs/>
          <w:sz w:val="24"/>
          <w:szCs w:val="24"/>
        </w:rPr>
        <w:t xml:space="preserve"> × ET</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w:t>
      </w:r>
    </w:p>
    <w:p>
      <w:pPr>
        <w:spacing w:after="200" w:before="80"/>
        <w:jc w:val="center"/>
      </w:pPr>
      <w:r>
        <w:rPr>
          <w:rFonts w:ascii="Cambria Math" w:cs="Cambria Math" w:eastAsia="Cambria Math" w:hAnsi="Cambria Math"/>
          <w:i/>
          <w:iCs/>
          <w:sz w:val="24"/>
          <w:szCs w:val="24"/>
        </w:rPr>
        <w:t xml:space="preserve">dS</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/dt = R</w:t>
      </w:r>
      <w:r>
        <w:rPr>
          <w:rFonts w:ascii="Cambria Math" w:cs="Cambria Math" w:eastAsia="Cambria Math" w:hAnsi="Cambria Math"/>
          <w:i/>
          <w:iCs/>
          <w:sz w:val="24"/>
          <w:szCs w:val="24"/>
          <w:vertAlign w:val="subscript"/>
        </w:rPr>
        <w:t xml:space="preserve">g,j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 − (1 − α</w:t>
      </w:r>
      <w:r>
        <w:rPr>
          <w:rFonts w:ascii="Cambria Math" w:cs="Cambria Math" w:eastAsia="Cambria Math" w:hAnsi="Cambria Math"/>
          <w:i/>
          <w:iCs/>
          <w:sz w:val="24"/>
          <w:szCs w:val="24"/>
          <w:vertAlign w:val="subscript"/>
        </w:rPr>
        <w:t xml:space="preserve">ET,j</w:t>
      </w:r>
      <w:r>
        <w:rPr>
          <w:rFonts w:ascii="Cambria Math" w:cs="Cambria Math" w:eastAsia="Cambria Math" w:hAnsi="Cambria Math"/>
          <w:i/>
          <w:iCs/>
          <w:sz w:val="24"/>
          <w:szCs w:val="24"/>
        </w:rPr>
        <w:t xml:space="preserve">) × ET</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(t)</w:t>
      </w:r>
    </w:p>
    <w:p>
      <w:pPr>
        <w:pStyle w:val="Heading2"/>
        <w:spacing w:after="120" w:before="260"/>
      </w:pPr>
      <w:r>
        <w:t xml:space="preserve">5.3a Storage–Discharge Relationships (linear reservoir; K as sub-basin constants)</w:t>
      </w:r>
    </w:p>
    <w:p>
      <w:pPr>
        <w:spacing w:after="200" w:before="80"/>
        <w:jc w:val="center"/>
      </w:pPr>
      <w:r>
        <w:rPr>
          <w:rFonts w:ascii="Cambria Math" w:cs="Cambria Math" w:eastAsia="Cambria Math" w:hAnsi="Cambria Math"/>
          <w:i/>
          <w:iCs/>
          <w:sz w:val="24"/>
          <w:szCs w:val="24"/>
        </w:rPr>
        <w:t xml:space="preserve">Q</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K</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 × S</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Q</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 = K</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 × S</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w:t>
      </w:r>
    </w:p>
    <w:p>
      <w:pPr>
        <w:pStyle w:val="Heading2"/>
        <w:spacing w:after="120" w:before="260"/>
      </w:pPr>
      <w:r>
        <w:t xml:space="preserve">5.4 Tracer Mass Balance ODEs (unaffected by ET; subscript corrected)</w:t>
      </w:r>
    </w:p>
    <w:p>
      <w:pPr>
        <w:spacing w:after="200" w:before="80"/>
        <w:jc w:val="center"/>
      </w:pPr>
      <w:r>
        <w:rPr>
          <w:rFonts w:ascii="Cambria Math" w:cs="Cambria Math" w:eastAsia="Cambria Math" w:hAnsi="Cambria Math"/>
          <w:i/>
          <w:iCs/>
          <w:sz w:val="24"/>
          <w:szCs w:val="24"/>
        </w:rPr>
        <w:t xml:space="preserve">dM</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/dt = I</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in,j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w:t>
      </w:r>
    </w:p>
    <w:p>
      <w:pPr>
        <w:spacing w:after="200" w:before="80"/>
        <w:jc w:val="center"/>
      </w:pPr>
      <w:r>
        <w:rPr>
          <w:rFonts w:ascii="Cambria Math" w:cs="Cambria Math" w:eastAsia="Cambria Math" w:hAnsi="Cambria Math"/>
          <w:i/>
          <w:iCs/>
          <w:sz w:val="24"/>
          <w:szCs w:val="24"/>
        </w:rPr>
        <w:t xml:space="preserve">dM</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/dt = R</w:t>
      </w:r>
      <w:r>
        <w:rPr>
          <w:rFonts w:ascii="Cambria Math" w:cs="Cambria Math" w:eastAsia="Cambria Math" w:hAnsi="Cambria Math"/>
          <w:i/>
          <w:iCs/>
          <w:sz w:val="24"/>
          <w:szCs w:val="24"/>
          <w:vertAlign w:val="subscript"/>
        </w:rPr>
        <w:t xml:space="preserve">g,j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in,j</w:t>
      </w:r>
      <w:r>
        <w:rPr>
          <w:rFonts w:ascii="Cambria Math" w:cs="Cambria Math" w:eastAsia="Cambria Math" w:hAnsi="Cambria Math"/>
          <w:i/>
          <w:iCs/>
          <w:sz w:val="24"/>
          <w:szCs w:val="24"/>
        </w:rPr>
        <w:t xml:space="preserve">(t) − Q</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(t)×C</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w:t>
      </w:r>
    </w:p>
    <w:p>
      <w:pPr>
        <w:pStyle w:val="Heading2"/>
        <w:spacing w:after="120" w:before="260"/>
      </w:pPr>
      <w:r>
        <w:t xml:space="preserve">5.4a Concentrations</w:t>
      </w:r>
    </w:p>
    <w:p>
      <w:pPr>
        <w:spacing w:after="200" w:before="80"/>
        <w:jc w:val="center"/>
      </w:pPr>
      <w:r>
        <w:rPr>
          <w:rFonts w:ascii="Cambria Math" w:cs="Cambria Math" w:eastAsia="Cambria Math" w:hAnsi="Cambria Math"/>
          <w:i/>
          <w:iCs/>
          <w:sz w:val="24"/>
          <w:szCs w:val="24"/>
        </w:rPr>
        <w:t xml:space="preserve">C</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M</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 S</w:t>
      </w:r>
      <w:r>
        <w:rPr>
          <w:rFonts w:ascii="Cambria Math" w:cs="Cambria Math" w:eastAsia="Cambria Math" w:hAnsi="Cambria Math"/>
          <w:i/>
          <w:iCs/>
          <w:sz w:val="24"/>
          <w:szCs w:val="24"/>
          <w:vertAlign w:val="subscript"/>
        </w:rPr>
        <w:t xml:space="preserve">f,j</w:t>
      </w:r>
      <w:r>
        <w:rPr>
          <w:rFonts w:ascii="Cambria Math" w:cs="Cambria Math" w:eastAsia="Cambria Math" w:hAnsi="Cambria Math"/>
          <w:i/>
          <w:iCs/>
          <w:sz w:val="24"/>
          <w:szCs w:val="24"/>
        </w:rPr>
        <w:t xml:space="preserve">(t)        C</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 = M</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 / S</w:t>
      </w:r>
      <w:r>
        <w:rPr>
          <w:rFonts w:ascii="Cambria Math" w:cs="Cambria Math" w:eastAsia="Cambria Math" w:hAnsi="Cambria Math"/>
          <w:i/>
          <w:iCs/>
          <w:sz w:val="24"/>
          <w:szCs w:val="24"/>
          <w:vertAlign w:val="subscript"/>
        </w:rPr>
        <w:t xml:space="preserve">s,j</w:t>
      </w:r>
      <w:r>
        <w:rPr>
          <w:rFonts w:ascii="Cambria Math" w:cs="Cambria Math" w:eastAsia="Cambria Math" w:hAnsi="Cambria Math"/>
          <w:i/>
          <w:iCs/>
          <w:sz w:val="24"/>
          <w:szCs w:val="24"/>
        </w:rPr>
        <w:t xml:space="preserve">(t)</w:t>
      </w:r>
    </w:p>
    <w:p>
      <w:pPr>
        <w:pStyle w:val="Heading2"/>
        <w:spacing w:after="120" w:before="260"/>
      </w:pPr>
      <w:r>
        <w:t xml:space="preserve">5.5 Outlet Discharge and Tracer Concentration</w:t>
      </w:r>
    </w:p>
    <w:p>
      <w:pPr>
        <w:spacing w:after="160" w:line="276"/>
      </w:pPr>
      <w:r>
        <w:rPr>
          <w:rFonts w:ascii="Calibri" w:cs="Calibri" w:eastAsia="Calibri" w:hAnsi="Calibri"/>
          <w:i/>
          <w:iCs/>
          <w:sz w:val="22"/>
          <w:szCs w:val="22"/>
        </w:rPr>
        <w:t xml:space="preserve">Defined via the network routing in Section 4 above: Q_out(t) and C_out model(t) are the Lower Triangle sub-basin's total routed discharge and concentration — not a flat summation across all five sub-basins.</w:t>
      </w:r>
    </w:p>
    <w:p>
      <w:pPr>
        <w:pStyle w:val="Heading1"/>
        <w:spacing w:after="160" w:before="320"/>
      </w:pPr>
      <w:r>
        <w:t xml:space="preserve">6. Updated Nomenclature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Symbol</w:t>
            </w:r>
          </w:p>
        </w:tc>
        <w:tc>
          <w:tcPr>
            <w:tcW w:type="dxa" w:w="652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 j</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Time; sub-basin index (j = 1,…5)</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P_j(t)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Rainfall input to sub-basin j</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SM_j(t)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Snowmelt input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P_e,j(t)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Effective water input (rainfall + snowmelt only — no glacier term)</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P_uf,j(t)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Direct/ultra-fast surface runoff (unstored, event water)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I_j(t)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Total infiltration entering the subsurface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I_f,j(t)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Input to the fast (preferential)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R_g,j(t)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Groundwater recharge (input to the slow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S_f,j(t)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Water storage in the fast (preferential)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S_s,j(t)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Water storage in the slow (groundwater)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Q_f,j(t)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Fast-flow discharge from the fast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Q_s,j(t)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Slow-flow / baseflow discharge from the slow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Q_uf,j(t)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Ultra-fast runoff discharge (= P_uf,j)</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Q_out(t)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Total watershed outlet discharge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K_f,j, K_s,j</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Fast/slow reservoir recession coefficients (sub-basin constants)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ET_j(t)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Actual evapotranspiration forcing (from EC tower / validated ET product)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α_ET,j</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Fraction of local ET drawn from the fast reservoir (sub-basin-specific)</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M_f,j(t), M_s,j(t)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Chloride mass stored in the fast / slow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C_in,j(t)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Chloride concentration of incoming (event) water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C_f,j(t), C_s,j(t)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Chloride concentration in the fast / slow reservoir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C_out^model(t)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Simulated chloride concentration at the watershed outlet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U(j)</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Set of sub-basins whose routed outflow enters sub-basin j (network topology)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Q_loc,j(t) / Q_tot,j(t)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Locally-generated / total (local + routed upstream) discharge at sub-basin j</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Φ_loc,j(t) / Φ_tot,j(t)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Locally-generated / total (local + routed upstream) tracer mass flux at sub-basin j</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C_tot,j(t)</w:t>
            </w:r>
          </w:p>
        </w:tc>
        <w:tc>
          <w:tcPr>
            <w:tcW w:type="dxa" w:w="6520"/>
            <w:tcMar>
              <w:top w:type="dxa" w:w="100"/>
              <w:left w:type="dxa" w:w="120"/>
              <w:bottom w:type="dxa" w:w="100"/>
              <w:right w:type="dxa" w:w="120"/>
            </w:tcMar>
          </w:tcPr>
          <w:p>
            <w:r>
              <w:rPr>
                <w:rFonts w:ascii="Calibri" w:cs="Calibri" w:eastAsia="Calibri" w:hAnsi="Calibri"/>
                <w:b w:val="false"/>
                <w:bCs w:val="false"/>
                <w:color w:val="000000"/>
                <w:sz w:val="20"/>
                <w:szCs w:val="20"/>
              </w:rPr>
              <w:t xml:space="preserve">Flux-weighted chloride concentration at sub-basin j's gauge</w:t>
            </w:r>
          </w:p>
        </w:tc>
      </w:tr>
    </w:tbl>
    <w:p>
      <w:pPr>
        <w:pStyle w:val="Heading1"/>
        <w:spacing w:after="160" w:before="320"/>
      </w:pPr>
      <w:r>
        <w:t xml:space="preserve">7. Open Items to Resolve Before Finalizing</w:t>
      </w:r>
    </w:p>
    <w:p>
      <w:pPr>
        <w:pStyle w:val="ListParagraph"/>
        <w:numPr>
          <w:ilvl w:val="0"/>
          <w:numId w:val="4"/>
        </w:numPr>
        <w:spacing w:after="100" w:line="276"/>
      </w:pPr>
      <w:r>
        <w:t xml:space="preserve">Decide whether to split C_in,j into distinct fast-pathway and recharge end-members, based on what your anion/isotope dataset can actually support. (Update: groundwater piezometer chloride data near Pumphouse shows a ~200–400x concentration contrast vs. stream water — strong empirical support for splitting, if you choose to.)</w:t>
      </w:r>
    </w:p>
    <w:p>
      <w:pPr>
        <w:pStyle w:val="ListParagraph"/>
        <w:numPr>
          <w:ilvl w:val="0"/>
          <w:numId w:val="4"/>
        </w:numPr>
        <w:spacing w:after="100" w:line="276"/>
      </w:pPr>
      <w:r>
        <w:t xml:space="preserve">ET_j(t) forcing is now sourced (CLM-simulated ET, Tran et al. 2019, mapped to each sub-basin by nearest meteorological station), but coverage is short (Dec 2013–Dec 2015 only) and two sub-basins (Rustlers, EAQ) lack a nearby station (&gt;3.5 km to nearest match) — treat α_ET,j and the ET forcing itself as lower-confidence for those two nodes specifically.</w:t>
      </w:r>
    </w:p>
    <w:p>
      <w:pPr>
        <w:pStyle w:val="ListParagraph"/>
        <w:numPr>
          <w:ilvl w:val="0"/>
          <w:numId w:val="4"/>
        </w:numPr>
        <w:spacing w:after="100" w:line="276"/>
      </w:pPr>
      <w:r>
        <w:t xml:space="preserve">Redraw Figure 1 to match Section 3 exactly, and re-check every box against a governing equation before resubmitting to your advisor.</w:t>
      </w:r>
    </w:p>
    <w:p>
      <w:pPr>
        <w:pBdr>
          <w:bottom w:val="single" w:color="BFBFBF" w:sz="6"/>
        </w:pBdr>
        <w:spacing w:after="200" w:before="200"/>
      </w:pPr>
      <w:r>
        <w:rPr>
          <w:rFonts w:ascii="Calibri" w:cs="Calibri" w:eastAsia="Calibri" w:hAnsi="Calibri"/>
        </w:rPr>
        <w:t xml:space="preserve"/>
      </w:r>
    </w:p>
    <w:p>
      <w:pPr>
        <w:spacing w:after="160" w:line="276"/>
      </w:pPr>
      <w:r>
        <w:rPr>
          <w:rFonts w:ascii="Calibri" w:cs="Calibri" w:eastAsia="Calibri" w:hAnsi="Calibri"/>
          <w:i/>
          <w:iCs/>
          <w:color w:val="595959"/>
          <w:sz w:val="22"/>
          <w:szCs w:val="22"/>
        </w:rPr>
        <w:t xml:space="preserve">This document addresses the mathematical formulation and conceptual diagram only. Once these corrections are approved, the next document should cover PINN architecture, loss function weighting, and the validation protocol against the independently-established East River baseflow fractions.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2026-08-07T22:30:48.351Z</dcterms:created>
  <dcterms:modified xsi:type="dcterms:W3CDTF">2026-08-07T22:30:48.365Z</dcterms:modified>
</cp:coreProperties>
</file>

<file path=docProps/custom.xml><?xml version="1.0" encoding="utf-8"?>
<Properties xmlns="http://schemas.openxmlformats.org/officeDocument/2006/custom-properties" xmlns:vt="http://schemas.openxmlformats.org/officeDocument/2006/docPropsVTypes"/>
</file>