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0D2444"/>
        </w:rPr>
        <w:t>Content Calendar — IRIS IoT Practicum 2026/2027</w:t>
      </w:r>
    </w:p>
    <w:p>
      <w:r>
        <w:t>No publish dates are pre-filled — slot these into your own schedule. Suggested cadence: one post per week across ~6 weeks, ideally timed with when each module actually runs in the practicum.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#</w:t>
            </w:r>
          </w:p>
        </w:tc>
        <w:tc>
          <w:tcPr>
            <w:tcW w:type="dxa" w:w="1728"/>
          </w:tcPr>
          <w:p>
            <w:r>
              <w:rPr>
                <w:b/>
              </w:rPr>
              <w:t>Theme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Format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Caption</w:t>
            </w:r>
          </w:p>
        </w:tc>
        <w:tc>
          <w:tcPr>
            <w:tcW w:type="dxa" w:w="1728"/>
          </w:tcPr>
          <w:p>
            <w:r>
              <w:rPr>
                <w:b/>
              </w:rPr>
              <w:t>Assets</w:t>
            </w:r>
          </w:p>
        </w:tc>
      </w:tr>
      <w:tr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Intro — IRIS Lab &amp; this semester's IoT practicum</w:t>
            </w:r>
          </w:p>
        </w:tc>
        <w:tc>
          <w:tcPr>
            <w:tcW w:type="dxa" w:w="1728"/>
          </w:tcPr>
          <w:p>
            <w:r>
              <w:t>Single image or carousel (cover + architecture diagram)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20"/>
              </w:rPr>
              <w:t>captions/id/captions.md</w:t>
            </w:r>
            <w:r>
              <w:t xml:space="preserve"> → Post 0 · </w:t>
            </w:r>
            <w:r>
              <w:rPr>
                <w:rFonts w:ascii="Consolas" w:hAnsi="Consolas"/>
                <w:sz w:val="20"/>
              </w:rPr>
              <w:t>captions/en/captions.md</w:t>
            </w:r>
            <w:r>
              <w:t xml:space="preserve"> → Post 0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20"/>
              </w:rPr>
              <w:t>asset-manifest.md</w:t>
            </w:r>
            <w:r>
              <w:t xml:space="preserve"> → Post 0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Module 1 — Bluetooth Connectivity</w:t>
            </w:r>
          </w:p>
        </w:tc>
        <w:tc>
          <w:tcPr>
            <w:tcW w:type="dxa" w:w="1728"/>
          </w:tcPr>
          <w:p>
            <w:r>
              <w:t>Carousel (logo → flow diagram → P2P → output)</w:t>
            </w:r>
          </w:p>
        </w:tc>
        <w:tc>
          <w:tcPr>
            <w:tcW w:type="dxa" w:w="1728"/>
          </w:tcPr>
          <w:p>
            <w:r>
              <w:t>Post 1</w:t>
            </w:r>
          </w:p>
        </w:tc>
        <w:tc>
          <w:tcPr>
            <w:tcW w:type="dxa" w:w="1728"/>
          </w:tcPr>
          <w:p>
            <w:r>
              <w:t>Post 1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Module 2 — WebSocket + Local Server</w:t>
            </w:r>
          </w:p>
        </w:tc>
        <w:tc>
          <w:tcPr>
            <w:tcW w:type="dxa" w:w="1728"/>
          </w:tcPr>
          <w:p>
            <w:r>
              <w:t>Carousel (WebSocket visual → HTTP visual → output)</w:t>
            </w:r>
          </w:p>
        </w:tc>
        <w:tc>
          <w:tcPr>
            <w:tcW w:type="dxa" w:w="1728"/>
          </w:tcPr>
          <w:p>
            <w:r>
              <w:t>Post 2</w:t>
            </w:r>
          </w:p>
        </w:tc>
        <w:tc>
          <w:tcPr>
            <w:tcW w:type="dxa" w:w="1728"/>
          </w:tcPr>
          <w:p>
            <w:r>
              <w:t>Post 2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Module 3 — MQTT</w:t>
            </w:r>
          </w:p>
        </w:tc>
        <w:tc>
          <w:tcPr>
            <w:tcW w:type="dxa" w:w="1728"/>
          </w:tcPr>
          <w:p>
            <w:r>
              <w:t>Carousel (pub/sub visual → broker → Mosquitto logo)</w:t>
            </w:r>
          </w:p>
        </w:tc>
        <w:tc>
          <w:tcPr>
            <w:tcW w:type="dxa" w:w="1728"/>
          </w:tcPr>
          <w:p>
            <w:r>
              <w:t>Post 3</w:t>
            </w:r>
          </w:p>
        </w:tc>
        <w:tc>
          <w:tcPr>
            <w:tcW w:type="dxa" w:w="1728"/>
          </w:tcPr>
          <w:p>
            <w:r>
              <w:t>Post 3</w:t>
            </w:r>
          </w:p>
        </w:tc>
      </w:tr>
      <w:tr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Module 4 — LoRa &amp; LoRaWAN via ANTARES</w:t>
            </w:r>
          </w:p>
        </w:tc>
        <w:tc>
          <w:tcPr>
            <w:tcW w:type="dxa" w:w="1728"/>
          </w:tcPr>
          <w:p>
            <w:r>
              <w:t>Carousel (board hero shot → bandwidth chart → architecture → dashboard)</w:t>
            </w:r>
          </w:p>
        </w:tc>
        <w:tc>
          <w:tcPr>
            <w:tcW w:type="dxa" w:w="1728"/>
          </w:tcPr>
          <w:p>
            <w:r>
              <w:t>Post 4</w:t>
            </w:r>
          </w:p>
        </w:tc>
        <w:tc>
          <w:tcPr>
            <w:tcW w:type="dxa" w:w="1728"/>
          </w:tcPr>
          <w:p>
            <w:r>
              <w:t>Post 4</w:t>
            </w:r>
          </w:p>
        </w:tc>
      </w:tr>
      <w:tr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Wrap-up / Behind the Scenes</w:t>
            </w:r>
          </w:p>
        </w:tc>
        <w:tc>
          <w:tcPr>
            <w:tcW w:type="dxa" w:w="1728"/>
          </w:tcPr>
          <w:p>
            <w:r>
              <w:t>Single image or collage</w:t>
            </w:r>
          </w:p>
        </w:tc>
        <w:tc>
          <w:tcPr>
            <w:tcW w:type="dxa" w:w="1728"/>
          </w:tcPr>
          <w:p>
            <w:r>
              <w:t>Post 5</w:t>
            </w:r>
          </w:p>
        </w:tc>
        <w:tc>
          <w:tcPr>
            <w:tcW w:type="dxa" w:w="1728"/>
          </w:tcPr>
          <w:p>
            <w:r>
              <w:t>Post 5</w:t>
            </w:r>
          </w:p>
        </w:tc>
      </w:tr>
    </w:tbl>
    <w:p>
      <w:pPr>
        <w:pStyle w:val="Heading2"/>
      </w:pPr>
      <w:r>
        <w:t>Notes for the media team</w:t>
      </w:r>
    </w:p>
    <w:p>
      <w:pPr>
        <w:pStyle w:val="ListBullet"/>
      </w:pPr>
      <w:r>
        <w:t>Each fact sheet (</w:t>
      </w:r>
      <w:r>
        <w:rPr>
          <w:rFonts w:ascii="Consolas" w:hAnsi="Consolas"/>
          <w:sz w:val="20"/>
        </w:rPr>
        <w:t>fact-sheets/{lang}/</w:t>
      </w:r>
      <w:r>
        <w:t>) has more raw material than fits in one caption — feel free to split a module into 2 posts (e.g., a "did you know" fact post + a "what students build" post) if you want more than 6 posts total.</w:t>
      </w:r>
    </w:p>
    <w:p>
      <w:pPr>
        <w:pStyle w:val="ListBullet"/>
      </w:pPr>
      <w:r>
        <w:t xml:space="preserve">Keep the </w:t>
      </w:r>
      <w:r>
        <w:rPr>
          <w:rFonts w:ascii="Consolas" w:hAnsi="Consolas"/>
          <w:sz w:val="20"/>
        </w:rPr>
        <w:t>&lt;/&gt; Babai &lt;/&gt;</w:t>
      </w:r>
      <w:r>
        <w:t xml:space="preserve"> sign-off and </w:t>
      </w:r>
      <w:r>
        <w:rPr>
          <w:rFonts w:ascii="Consolas" w:hAnsi="Consolas"/>
          <w:sz w:val="20"/>
        </w:rPr>
        <w:t>#IRIS</w:t>
      </w:r>
      <w:r>
        <w:t xml:space="preserve"> hashtag on every post — it's the lab's existing signature across all journals and slide decks.</w:t>
      </w:r>
    </w:p>
    <w:p>
      <w:pPr>
        <w:pStyle w:val="ListBullet"/>
      </w:pPr>
      <w:r>
        <w:t>If a module's practicum date changes, no caption text needs editing — the captions aren't date-specific.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IRIS Media Package - Content Calendar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