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5B44" w:rsidRDefault="0054189A">
      <w:pPr>
        <w:rPr>
          <w:lang w:val="nb-NO"/>
        </w:rPr>
      </w:pPr>
      <w:r>
        <w:rPr>
          <w:lang w:val="nb-NO"/>
        </w:rPr>
        <w:t>Hand in 8</w:t>
      </w:r>
    </w:p>
    <w:p w:rsidR="0054189A" w:rsidRDefault="0054189A">
      <w:pPr>
        <w:rPr>
          <w:lang w:val="nb-NO"/>
        </w:rPr>
      </w:pPr>
    </w:p>
    <w:p w:rsidR="0054189A" w:rsidRDefault="0054189A">
      <w:pPr>
        <w:rPr>
          <w:lang w:val="nb-NO"/>
        </w:rPr>
      </w:pPr>
      <w:proofErr w:type="spellStart"/>
      <w:r>
        <w:rPr>
          <w:lang w:val="nb-NO"/>
        </w:rPr>
        <w:t>Task</w:t>
      </w:r>
      <w:proofErr w:type="spellEnd"/>
      <w:r>
        <w:rPr>
          <w:lang w:val="nb-NO"/>
        </w:rPr>
        <w:t xml:space="preserve"> 1</w:t>
      </w:r>
    </w:p>
    <w:p w:rsidR="0054189A" w:rsidRDefault="0054189A">
      <w:pPr>
        <w:rPr>
          <w:lang w:val="nb-NO"/>
        </w:rPr>
      </w:pPr>
      <w:r>
        <w:rPr>
          <w:lang w:val="nb-NO"/>
        </w:rPr>
        <w:t>a)</w:t>
      </w:r>
    </w:p>
    <w:p w:rsidR="0054189A" w:rsidRDefault="0054189A">
      <w:pPr>
        <w:rPr>
          <w:lang w:val="nb-NO"/>
        </w:rPr>
      </w:pPr>
      <w:r>
        <w:rPr>
          <w:noProof/>
        </w:rPr>
        <w:drawing>
          <wp:inline distT="0" distB="0" distL="0" distR="0" wp14:anchorId="60A08625" wp14:editId="17C39ABC">
            <wp:extent cx="5972810" cy="4660265"/>
            <wp:effectExtent l="0" t="0" r="8890" b="6985"/>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72810" cy="4660265"/>
                    </a:xfrm>
                    <a:prstGeom prst="rect">
                      <a:avLst/>
                    </a:prstGeom>
                  </pic:spPr>
                </pic:pic>
              </a:graphicData>
            </a:graphic>
          </wp:inline>
        </w:drawing>
      </w:r>
    </w:p>
    <w:p w:rsidR="0054189A" w:rsidRDefault="0054189A">
      <w:pPr>
        <w:rPr>
          <w:lang w:val="nb-NO"/>
        </w:rPr>
      </w:pPr>
    </w:p>
    <w:p w:rsidR="0054189A" w:rsidRPr="0054189A" w:rsidRDefault="0054189A">
      <w:r w:rsidRPr="0054189A">
        <w:t xml:space="preserve">As can be seen in figure 2, it takes some time before the </w:t>
      </w:r>
      <w:r>
        <w:t xml:space="preserve">TCE and PCE </w:t>
      </w:r>
      <w:r w:rsidR="00977542">
        <w:t>breaks</w:t>
      </w:r>
      <w:r>
        <w:t xml:space="preserve"> through, with the concentration increasing for the first 0.2-0.25 pore volumes. It can also be observed that PCE </w:t>
      </w:r>
      <w:r w:rsidR="00977542">
        <w:t>brakes</w:t>
      </w:r>
      <w:r>
        <w:t xml:space="preserve"> through later than </w:t>
      </w:r>
      <w:proofErr w:type="gramStart"/>
      <w:r>
        <w:t>TCE,</w:t>
      </w:r>
      <w:proofErr w:type="gramEnd"/>
      <w:r>
        <w:t xml:space="preserve"> the same result was obtained in the original paper. After around 1 pore volume most of the PCE and TCE are out of the solution. </w:t>
      </w:r>
    </w:p>
    <w:p w:rsidR="00783E10" w:rsidRDefault="00783E10">
      <w:pPr>
        <w:rPr>
          <w:lang w:val="nb-NO"/>
        </w:rPr>
      </w:pPr>
      <w:r>
        <w:rPr>
          <w:lang w:val="nb-NO"/>
        </w:rPr>
        <w:br w:type="page"/>
      </w:r>
    </w:p>
    <w:p w:rsidR="0054189A" w:rsidRDefault="00783E10">
      <w:pPr>
        <w:rPr>
          <w:lang w:val="nb-NO"/>
        </w:rPr>
      </w:pPr>
      <w:r>
        <w:rPr>
          <w:noProof/>
        </w:rPr>
        <w:lastRenderedPageBreak/>
        <w:drawing>
          <wp:anchor distT="0" distB="0" distL="114300" distR="114300" simplePos="0" relativeHeight="251663360" behindDoc="0" locked="0" layoutInCell="1" allowOverlap="1" wp14:anchorId="664EC7D5" wp14:editId="77552A97">
            <wp:simplePos x="0" y="0"/>
            <wp:positionH relativeFrom="column">
              <wp:posOffset>3505200</wp:posOffset>
            </wp:positionH>
            <wp:positionV relativeFrom="paragraph">
              <wp:posOffset>-550545</wp:posOffset>
            </wp:positionV>
            <wp:extent cx="3070225" cy="2369185"/>
            <wp:effectExtent l="0" t="0" r="0" b="0"/>
            <wp:wrapSquare wrapText="bothSides"/>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070225" cy="23691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52AE2F7" wp14:editId="4951E86F">
            <wp:simplePos x="0" y="0"/>
            <wp:positionH relativeFrom="column">
              <wp:posOffset>291465</wp:posOffset>
            </wp:positionH>
            <wp:positionV relativeFrom="paragraph">
              <wp:posOffset>-550545</wp:posOffset>
            </wp:positionV>
            <wp:extent cx="2822575" cy="2205355"/>
            <wp:effectExtent l="0" t="0" r="0" b="4445"/>
            <wp:wrapSquare wrapText="bothSides"/>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822575" cy="2205355"/>
                    </a:xfrm>
                    <a:prstGeom prst="rect">
                      <a:avLst/>
                    </a:prstGeom>
                  </pic:spPr>
                </pic:pic>
              </a:graphicData>
            </a:graphic>
            <wp14:sizeRelH relativeFrom="page">
              <wp14:pctWidth>0</wp14:pctWidth>
            </wp14:sizeRelH>
            <wp14:sizeRelV relativeFrom="page">
              <wp14:pctHeight>0</wp14:pctHeight>
            </wp14:sizeRelV>
          </wp:anchor>
        </w:drawing>
      </w:r>
      <w:r w:rsidR="0054189A">
        <w:rPr>
          <w:lang w:val="nb-NO"/>
        </w:rPr>
        <w:t>b)</w:t>
      </w:r>
    </w:p>
    <w:p w:rsidR="0054189A" w:rsidRDefault="0054189A">
      <w:pPr>
        <w:rPr>
          <w:lang w:val="nb-NO"/>
        </w:rPr>
      </w:pPr>
    </w:p>
    <w:p w:rsidR="0054189A" w:rsidRDefault="00783E10">
      <w:pPr>
        <w:rPr>
          <w:lang w:val="nb-NO"/>
        </w:rPr>
      </w:pPr>
      <w:r>
        <w:rPr>
          <w:noProof/>
        </w:rPr>
        <w:drawing>
          <wp:anchor distT="0" distB="0" distL="114300" distR="114300" simplePos="0" relativeHeight="251662336" behindDoc="0" locked="0" layoutInCell="1" allowOverlap="1" wp14:anchorId="7EA59649" wp14:editId="31836043">
            <wp:simplePos x="0" y="0"/>
            <wp:positionH relativeFrom="column">
              <wp:posOffset>3557905</wp:posOffset>
            </wp:positionH>
            <wp:positionV relativeFrom="paragraph">
              <wp:posOffset>793115</wp:posOffset>
            </wp:positionV>
            <wp:extent cx="2969260" cy="2122805"/>
            <wp:effectExtent l="0" t="0" r="2540" b="0"/>
            <wp:wrapSquare wrapText="bothSides"/>
            <wp:docPr id="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9260" cy="21228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7B7CFB8E" wp14:editId="04CB7AD7">
            <wp:simplePos x="0" y="0"/>
            <wp:positionH relativeFrom="column">
              <wp:posOffset>-49530</wp:posOffset>
            </wp:positionH>
            <wp:positionV relativeFrom="paragraph">
              <wp:posOffset>264795</wp:posOffset>
            </wp:positionV>
            <wp:extent cx="3058160" cy="2385060"/>
            <wp:effectExtent l="0" t="0" r="8890" b="0"/>
            <wp:wrapSquare wrapText="bothSides"/>
            <wp:docPr id="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8160" cy="2385060"/>
                    </a:xfrm>
                    <a:prstGeom prst="rect">
                      <a:avLst/>
                    </a:prstGeom>
                  </pic:spPr>
                </pic:pic>
              </a:graphicData>
            </a:graphic>
            <wp14:sizeRelH relativeFrom="page">
              <wp14:pctWidth>0</wp14:pctWidth>
            </wp14:sizeRelH>
            <wp14:sizeRelV relativeFrom="page">
              <wp14:pctHeight>0</wp14:pctHeight>
            </wp14:sizeRelV>
          </wp:anchor>
        </w:drawing>
      </w:r>
      <w:r w:rsidRPr="00783E10">
        <w:rPr>
          <w:noProof/>
        </w:rPr>
        <w:t xml:space="preserve"> </w:t>
      </w:r>
    </w:p>
    <w:p w:rsidR="00783E10" w:rsidRDefault="00783E10"/>
    <w:p w:rsidR="00783E10" w:rsidRDefault="00783E10"/>
    <w:p w:rsidR="00783E10" w:rsidRDefault="00783E10"/>
    <w:p w:rsidR="00783E10" w:rsidRDefault="00783E10"/>
    <w:p w:rsidR="00783E10" w:rsidRDefault="00783E10"/>
    <w:p w:rsidR="00783E10" w:rsidRDefault="00783E10"/>
    <w:p w:rsidR="00783E10" w:rsidRDefault="00783E10"/>
    <w:p w:rsidR="00303E45" w:rsidRDefault="0054189A">
      <w:r w:rsidRPr="0054189A">
        <w:t xml:space="preserve">In </w:t>
      </w:r>
    </w:p>
    <w:p w:rsidR="0054189A" w:rsidRDefault="00303E45">
      <w:proofErr w:type="gramStart"/>
      <w:r>
        <w:t>figures</w:t>
      </w:r>
      <w:proofErr w:type="gramEnd"/>
      <w:r>
        <w:t xml:space="preserve"> 2-5</w:t>
      </w:r>
      <w:r w:rsidR="0054189A" w:rsidRPr="0054189A">
        <w:t xml:space="preserve"> the </w:t>
      </w:r>
      <w:r w:rsidR="00977542" w:rsidRPr="0054189A">
        <w:t>degradation</w:t>
      </w:r>
      <w:r w:rsidR="0054189A" w:rsidRPr="0054189A">
        <w:t xml:space="preserve"> of TCE</w:t>
      </w:r>
      <w:r w:rsidR="0054189A">
        <w:t xml:space="preserve"> has been calculated using a  </w:t>
      </w:r>
      <w:proofErr w:type="spellStart"/>
      <w:r w:rsidR="0054189A">
        <w:t>K_max</w:t>
      </w:r>
      <w:proofErr w:type="spellEnd"/>
      <w:r w:rsidR="0054189A">
        <w:t xml:space="preserve"> value of 124 </w:t>
      </w:r>
      <w:proofErr w:type="spellStart"/>
      <w:r w:rsidR="0054189A">
        <w:t>mmol</w:t>
      </w:r>
      <w:proofErr w:type="spellEnd"/>
      <w:r w:rsidR="0054189A">
        <w:t xml:space="preserve">/mg/day. </w:t>
      </w:r>
      <w:proofErr w:type="gramStart"/>
      <w:r w:rsidR="0054189A">
        <w:t>K1/2 values was</w:t>
      </w:r>
      <w:proofErr w:type="gramEnd"/>
      <w:r w:rsidR="0054189A">
        <w:t xml:space="preserve"> obtained from the solubility limit. All values </w:t>
      </w:r>
      <w:r w:rsidR="00783E10">
        <w:t>were</w:t>
      </w:r>
      <w:r w:rsidR="0054189A">
        <w:t xml:space="preserve"> found </w:t>
      </w:r>
      <w:r w:rsidR="00977542">
        <w:t xml:space="preserve">in </w:t>
      </w:r>
      <w:proofErr w:type="spellStart"/>
      <w:r w:rsidR="00977542">
        <w:t>Sabalowsky</w:t>
      </w:r>
      <w:proofErr w:type="spellEnd"/>
      <w:r w:rsidR="00977542">
        <w:t xml:space="preserve"> &amp; </w:t>
      </w:r>
      <w:proofErr w:type="spellStart"/>
      <w:r w:rsidR="00977542">
        <w:t>Semprini</w:t>
      </w:r>
      <w:proofErr w:type="spellEnd"/>
      <w:r w:rsidR="00977542">
        <w:t xml:space="preserve"> 2010. </w:t>
      </w:r>
    </w:p>
    <w:p w:rsidR="00977542" w:rsidRDefault="00977542">
      <w:r>
        <w:t xml:space="preserve">Using the method found in example 10.7, it does not seem to matter what the initial concentration was, and all the figures show the same degradation, all using about one hour to degrade. </w:t>
      </w:r>
      <w:r w:rsidR="00783E10">
        <w:t xml:space="preserve">Using </w:t>
      </w:r>
      <w:proofErr w:type="gramStart"/>
      <w:r w:rsidR="00783E10">
        <w:t>an if</w:t>
      </w:r>
      <w:proofErr w:type="gramEnd"/>
      <w:r w:rsidR="00783E10">
        <w:t xml:space="preserve"> statement, the model stops calculating the </w:t>
      </w:r>
      <w:r w:rsidR="00303E45">
        <w:t>concentration</w:t>
      </w:r>
      <w:r w:rsidR="00783E10">
        <w:t xml:space="preserve"> of TEC after reaching a </w:t>
      </w:r>
      <w:r w:rsidR="00303E45">
        <w:t>concentration</w:t>
      </w:r>
      <w:bookmarkStart w:id="0" w:name="_GoBack"/>
      <w:bookmarkEnd w:id="0"/>
      <w:r w:rsidR="00783E10">
        <w:t xml:space="preserve"> of 0.001 </w:t>
      </w:r>
      <w:proofErr w:type="spellStart"/>
      <w:r w:rsidR="00783E10">
        <w:t>mol</w:t>
      </w:r>
      <w:proofErr w:type="spellEnd"/>
      <w:r w:rsidR="00783E10">
        <w:t xml:space="preserve">/L. For the 100mg/L solution, the </w:t>
      </w:r>
      <w:r w:rsidR="00303E45">
        <w:t>cutoff occurs after 70 minutes, as can be seen in figure 3. For the 20mg/L solution, the cutoff happens after 45 minutes, while for the 10mg/L solution, the cutoff happens after approximately 36 minutes. The degradation, using the rate function, will have exponentially higher degradation as the concentration is raised</w:t>
      </w:r>
    </w:p>
    <w:p w:rsidR="00783E10" w:rsidRDefault="00783E10"/>
    <w:p w:rsidR="00783E10" w:rsidRDefault="00783E10">
      <w:r>
        <w:t>Sources:</w:t>
      </w:r>
    </w:p>
    <w:p w:rsidR="00783E10" w:rsidRDefault="00783E10">
      <w:proofErr w:type="spellStart"/>
      <w:r>
        <w:lastRenderedPageBreak/>
        <w:t>Sabalowsky</w:t>
      </w:r>
      <w:proofErr w:type="spellEnd"/>
      <w:r>
        <w:t>, A. R.</w:t>
      </w:r>
      <w:r>
        <w:t xml:space="preserve"> &amp; </w:t>
      </w:r>
      <w:proofErr w:type="spellStart"/>
      <w:r>
        <w:t>Semprini</w:t>
      </w:r>
      <w:proofErr w:type="spellEnd"/>
      <w:r>
        <w:t xml:space="preserve">, L. (2010) - </w:t>
      </w:r>
      <w:proofErr w:type="spellStart"/>
      <w:r w:rsidRPr="00783E10">
        <w:t>Trichloroethene</w:t>
      </w:r>
      <w:proofErr w:type="spellEnd"/>
      <w:r w:rsidRPr="00783E10">
        <w:t xml:space="preserve"> andcis-1</w:t>
      </w:r>
      <w:proofErr w:type="gramStart"/>
      <w:r w:rsidRPr="00783E10">
        <w:t>,2</w:t>
      </w:r>
      <w:proofErr w:type="gramEnd"/>
      <w:r w:rsidRPr="00783E10">
        <w:t xml:space="preserve">-dichloroetheneConcentration-Dependent Toxicity Model Simulates </w:t>
      </w:r>
      <w:proofErr w:type="spellStart"/>
      <w:r w:rsidRPr="00783E10">
        <w:t>AnaerobicDechlorination</w:t>
      </w:r>
      <w:proofErr w:type="spellEnd"/>
      <w:r w:rsidRPr="00783E10">
        <w:t xml:space="preserve"> at High Concentrations: I. Batch-Fed Reactors</w:t>
      </w:r>
    </w:p>
    <w:p w:rsidR="00783E10" w:rsidRPr="0054189A" w:rsidRDefault="00783E10">
      <w:r>
        <w:t>(</w:t>
      </w:r>
      <w:r w:rsidRPr="00783E10">
        <w:t>https://scholarworks.montana.edu/xmlui/bitstream/handle/1/13107/10-040_Trichloroethene_and_cis-1_.pdf;jsessionid=58F5DAF55681380CA519EFCD8C718FB9?sequence=1</w:t>
      </w:r>
      <w:r>
        <w:t>)</w:t>
      </w:r>
    </w:p>
    <w:sectPr w:rsidR="00783E10" w:rsidRPr="0054189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189A"/>
    <w:rsid w:val="000965E0"/>
    <w:rsid w:val="002A28CC"/>
    <w:rsid w:val="00303E45"/>
    <w:rsid w:val="0054189A"/>
    <w:rsid w:val="00783E10"/>
    <w:rsid w:val="00977542"/>
    <w:rsid w:val="00DC5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54189A"/>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5418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54189A"/>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5418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243</Words>
  <Characters>1387</Characters>
  <Application>Microsoft Office Word</Application>
  <DocSecurity>0</DocSecurity>
  <Lines>11</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Eirik</dc:creator>
  <cp:lastModifiedBy>Eirik</cp:lastModifiedBy>
  <cp:revision>2</cp:revision>
  <dcterms:created xsi:type="dcterms:W3CDTF">2021-04-28T16:37:00Z</dcterms:created>
  <dcterms:modified xsi:type="dcterms:W3CDTF">2021-04-28T16:37:00Z</dcterms:modified>
</cp:coreProperties>
</file>