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Supplement Table. Chatbot Usability Questionnaire Questions Analysed in The Study (N=60) </w:t>
      </w:r>
    </w:p>
    <w:tbl>
      <w:tblPr>
        <w:tblStyle w:val="Table1"/>
        <w:tblW w:w="10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45"/>
        <w:gridCol w:w="5265"/>
        <w:gridCol w:w="915"/>
        <w:gridCol w:w="975"/>
        <w:gridCol w:w="1455"/>
        <w:gridCol w:w="1215"/>
        <w:tblGridChange w:id="0">
          <w:tblGrid>
            <w:gridCol w:w="645"/>
            <w:gridCol w:w="5265"/>
            <w:gridCol w:w="915"/>
            <w:gridCol w:w="975"/>
            <w:gridCol w:w="1455"/>
            <w:gridCol w:w="12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Pernyataan Kuesioner (Item)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Total Item Correlation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Factor Loading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chatbot’s personality was realistic and engaging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-0.008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Drop (T1)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chatbot seemed too robotic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Drop (T1)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The chatbot was welcoming during initial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0.459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0.726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chatbot seemed very unfriendly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0.265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Drop (T1)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The chatbot explained its scope and purpose well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0.467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0.566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The chatbot gave no indication as to its 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0.599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0.757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chatbots was easy to navigate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Drop (T2)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 would be easy to get confused when using the chatbot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0.531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chatbot understood me well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0.336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Drop (T2)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The chatbot failed to recognise a lot of my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0.471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0.593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Chatbot responses were useful, appropriate and informative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0.291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Drop (T1)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Chatbot responses were not relevant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0.497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0.580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chatbot coped well with any errors or mistakes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0.307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Drop (T2)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The chatbot seemed unable to handle any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0.430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0.530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chatbot was very easy to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0.125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Drop (T1)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chatbot was very complex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-0.057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Drop (T1)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lata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spacing w:after="240" w:before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160" w:lineRule="auto"/>
    </w:pPr>
    <w:rPr>
      <w:rFonts w:ascii="Alata" w:cs="Alata" w:eastAsia="Alata" w:hAnsi="Alata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  <w:ind w:left="426" w:hanging="426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at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