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jc w:val="both"/>
        <w:rPr>
          <w:rFonts w:ascii="Times New Roman" w:cs="Times New Roman" w:hAnsi="Times New Roman"/>
          <w:b/>
          <w:color w:val="333333"/>
          <w:sz w:val="28"/>
          <w:szCs w:val="24"/>
        </w:rPr>
      </w:pPr>
      <w:r>
        <w:rPr>
          <w:rFonts w:ascii="Times New Roman" w:cs="Times New Roman" w:hAnsi="Times New Roman"/>
          <w:b/>
          <w:color w:val="333333"/>
          <w:sz w:val="28"/>
          <w:szCs w:val="24"/>
        </w:rPr>
        <w:t xml:space="preserve">Name: </w:t>
      </w:r>
      <w:r>
        <w:rPr>
          <w:rFonts w:ascii="Times New Roman" w:cs="Times New Roman" w:hAnsi="Times New Roman"/>
          <w:b/>
          <w:color w:val="333333"/>
          <w:sz w:val="28"/>
          <w:szCs w:val="24"/>
        </w:rPr>
        <w:t>Eisha Tir Raazia</w:t>
      </w:r>
    </w:p>
    <w:p>
      <w:pPr>
        <w:jc w:val="both"/>
        <w:rPr>
          <w:rFonts w:ascii="Times New Roman" w:cs="Times New Roman" w:hAnsi="Times New Roman"/>
          <w:b/>
          <w:color w:val="333333"/>
          <w:sz w:val="28"/>
          <w:szCs w:val="24"/>
        </w:rPr>
      </w:pPr>
      <w:r>
        <w:rPr>
          <w:rFonts w:ascii="Times New Roman" w:cs="Times New Roman" w:hAnsi="Times New Roman"/>
          <w:b/>
          <w:color w:val="333333"/>
          <w:sz w:val="28"/>
          <w:szCs w:val="24"/>
        </w:rPr>
        <w:t>Roll no. 17K-3730</w:t>
      </w:r>
    </w:p>
    <w:p>
      <w:pPr>
        <w:jc w:val="both"/>
        <w:rPr>
          <w:rFonts w:ascii="Times New Roman" w:cs="Times New Roman" w:hAnsi="Times New Roman"/>
          <w:b/>
          <w:color w:val="333333"/>
          <w:sz w:val="28"/>
          <w:szCs w:val="24"/>
        </w:rPr>
      </w:pPr>
      <w:r>
        <w:rPr>
          <w:rFonts w:ascii="Times New Roman" w:cs="Times New Roman" w:hAnsi="Times New Roman"/>
          <w:b/>
          <w:color w:val="333333"/>
          <w:sz w:val="28"/>
          <w:szCs w:val="24"/>
        </w:rPr>
        <w:t>Sec: C</w:t>
      </w:r>
    </w:p>
    <w:p>
      <w:pPr>
        <w:jc w:val="both"/>
        <w:rPr>
          <w:rFonts w:ascii="Times New Roman" w:cs="Times New Roman" w:hAnsi="Times New Roman"/>
          <w:b/>
          <w:color w:val="333333"/>
          <w:sz w:val="24"/>
          <w:szCs w:val="24"/>
        </w:rPr>
      </w:pPr>
      <w:bookmarkStart w:id="0" w:name="_GoBack"/>
      <w:bookmarkEnd w:id="0"/>
    </w:p>
    <w:p>
      <w:pPr>
        <w:jc w:val="both"/>
        <w:rPr>
          <w:rFonts w:ascii="Times New Roman" w:cs="Times New Roman" w:hAnsi="Times New Roman"/>
          <w:b/>
          <w:color w:val="333333"/>
          <w:sz w:val="24"/>
          <w:szCs w:val="24"/>
        </w:rPr>
      </w:pPr>
      <w:r>
        <w:rPr>
          <w:rFonts w:ascii="Times New Roman" w:cs="Times New Roman" w:hAnsi="Times New Roman"/>
          <w:b/>
          <w:color w:val="333333"/>
          <w:sz w:val="24"/>
          <w:szCs w:val="24"/>
        </w:rPr>
        <w:t>Abstract 1</w:t>
      </w:r>
    </w:p>
    <w:p>
      <w:pPr>
        <w:jc w:val="both"/>
        <w:rPr>
          <w:rFonts w:ascii="Times New Roman" w:cs="Times New Roman" w:hAnsi="Times New Roman"/>
          <w:color w:val="333333"/>
          <w:sz w:val="24"/>
          <w:szCs w:val="24"/>
        </w:rPr>
      </w:pPr>
      <w:r>
        <w:rPr>
          <w:rFonts w:ascii="Times New Roman" w:cs="Times New Roman" w:hAnsi="Times New Roman"/>
          <w:color w:val="ff0000"/>
          <w:sz w:val="24"/>
          <w:szCs w:val="24"/>
        </w:rPr>
        <w:t>Bankruptcy prediction has received a growing interest in corporate financ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e and risk management recently. </w:t>
      </w:r>
      <w:r>
        <w:rPr>
          <w:rFonts w:ascii="Times New Roman" w:cs="Times New Roman" w:hAnsi="Times New Roman"/>
          <w:color w:val="a45200"/>
          <w:sz w:val="24"/>
          <w:szCs w:val="24"/>
        </w:rPr>
        <w:t>Although numerous studies in the literature have dealt with various statistical and artificial intelligence classifiers, their performance in credit risk forecasting needs to be further scrutinized compared to other methods</w:t>
      </w:r>
      <w:r>
        <w:rPr>
          <w:rFonts w:ascii="Times New Roman" w:cs="Times New Roman" w:hAnsi="Times New Roman"/>
          <w:color w:val="ffff05"/>
          <w:sz w:val="24"/>
          <w:szCs w:val="24"/>
        </w:rPr>
        <w:t xml:space="preserve">. </w:t>
      </w:r>
      <w:r>
        <w:rPr>
          <w:rFonts w:ascii="Times New Roman" w:cs="Times New Roman" w:hAnsi="Times New Roman"/>
          <w:color w:val="c937cd"/>
          <w:sz w:val="24"/>
          <w:szCs w:val="24"/>
        </w:rPr>
        <w:t>In the spirit of Chen, Härdle and Moro (2011, </w:t>
      </w:r>
      <w:r>
        <w:rPr>
          <w:rFonts w:ascii="Times New Roman" w:cs="Times New Roman" w:hAnsi="Times New Roman"/>
          <w:i/>
          <w:iCs/>
          <w:color w:val="c937cd"/>
          <w:sz w:val="24"/>
          <w:szCs w:val="24"/>
        </w:rPr>
        <w:t>Quantitative Finance</w:t>
      </w:r>
      <w:r>
        <w:rPr>
          <w:rFonts w:ascii="Times New Roman" w:cs="Times New Roman" w:hAnsi="Times New Roman"/>
          <w:color w:val="c937cd"/>
          <w:sz w:val="24"/>
          <w:szCs w:val="24"/>
        </w:rPr>
        <w:t xml:space="preserve">), we design an empirical study </w:t>
      </w:r>
      <w:r>
        <w:rPr>
          <w:rFonts w:ascii="Times New Roman" w:cs="Times New Roman" w:hAnsi="Times New Roman"/>
          <w:color w:val="c937cd"/>
          <w:sz w:val="24"/>
          <w:szCs w:val="24"/>
        </w:rPr>
        <w:t>to assess the effectiveness of various </w:t>
      </w:r>
      <w:r>
        <w:rPr>
          <w:rStyle w:val="Single_highlight_class"/>
          <w:rFonts w:ascii="Times New Roman" w:cs="Times New Roman" w:hAnsi="Times New Roman"/>
          <w:color w:val="c937cd"/>
          <w:sz w:val="24"/>
          <w:szCs w:val="24"/>
          <w:shd w:val="clear" w:color="auto" w:fill="dedede"/>
        </w:rPr>
        <w:t>machine</w:t>
      </w:r>
      <w:r>
        <w:rPr>
          <w:rFonts w:ascii="Times New Roman" w:cs="Times New Roman" w:hAnsi="Times New Roman"/>
          <w:color w:val="c937cd"/>
          <w:sz w:val="24"/>
          <w:szCs w:val="24"/>
        </w:rPr>
        <w:t> </w:t>
      </w:r>
      <w:r>
        <w:rPr>
          <w:rStyle w:val="Single_highlight_class"/>
          <w:rFonts w:ascii="Times New Roman" w:cs="Times New Roman" w:hAnsi="Times New Roman"/>
          <w:color w:val="c937cd"/>
          <w:sz w:val="24"/>
          <w:szCs w:val="24"/>
          <w:shd w:val="clear" w:color="auto" w:fill="dedede"/>
        </w:rPr>
        <w:t>learning</w:t>
      </w:r>
      <w:r>
        <w:rPr>
          <w:rFonts w:ascii="Times New Roman" w:cs="Times New Roman" w:hAnsi="Times New Roman"/>
          <w:color w:val="c937cd"/>
          <w:sz w:val="24"/>
          <w:szCs w:val="24"/>
        </w:rPr>
        <w:t> topologies trained with big data approaches and qualitative, rather than quantitative, information as input variables.</w:t>
      </w:r>
      <w:r>
        <w:rPr>
          <w:rFonts w:ascii="Times New Roman" w:cs="Times New Roman" w:hAnsi="Times New Roman"/>
          <w:color w:val="c937cd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548135" w:themeColor="accent6" w:themeShade="bf"/>
          <w:sz w:val="24"/>
          <w:szCs w:val="24"/>
        </w:rPr>
        <w:t xml:space="preserve">The experimental results from a ten-fold cross-validation methodology demonstrate that a generalized regression neural topology yields an accuracy measurement of 99.96%, a sensitivity measure of </w:t>
      </w:r>
      <w:r>
        <w:rPr>
          <w:rFonts w:ascii="Times New Roman" w:cs="Times New Roman" w:hAnsi="Times New Roman"/>
          <w:color w:val="548135" w:themeColor="accent6" w:themeShade="bf"/>
          <w:sz w:val="24"/>
          <w:szCs w:val="24"/>
        </w:rPr>
        <w:t>99.91% and specificity of 100%.</w:t>
      </w:r>
      <w:r>
        <w:rPr>
          <w:rFonts w:ascii="Times New Roman" w:cs="Times New Roman" w:hAnsi="Times New Roman"/>
          <w:color w:val="548135" w:themeColor="accent6" w:themeShade="bf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e74b4" w:themeColor="accent1" w:themeShade="bf"/>
          <w:sz w:val="24"/>
          <w:szCs w:val="24"/>
        </w:rPr>
        <w:t>Indeed, this specific model outperformed multi-layer back-propagation networks, probabilistic neural networks, radial basis functions and regression trees, as well as other advanced classifiers. The utilization of advanced nonlinear classifiers based on big data methodologies and </w:t>
      </w:r>
      <w:r>
        <w:rPr>
          <w:rStyle w:val="Single_highlight_class"/>
          <w:rFonts w:ascii="Times New Roman" w:cs="Times New Roman" w:hAnsi="Times New Roman"/>
          <w:color w:val="2e74b4" w:themeColor="accent1" w:themeShade="bf"/>
          <w:sz w:val="24"/>
          <w:szCs w:val="24"/>
          <w:shd w:val="clear" w:color="auto" w:fill="dedede"/>
        </w:rPr>
        <w:t>machine</w:t>
      </w:r>
      <w:r>
        <w:rPr>
          <w:rFonts w:ascii="Times New Roman" w:cs="Times New Roman" w:hAnsi="Times New Roman"/>
          <w:color w:val="2e74b4" w:themeColor="accent1" w:themeShade="bf"/>
          <w:sz w:val="24"/>
          <w:szCs w:val="24"/>
        </w:rPr>
        <w:t> </w:t>
      </w:r>
      <w:r>
        <w:rPr>
          <w:rStyle w:val="Single_highlight_class"/>
          <w:rFonts w:ascii="Times New Roman" w:cs="Times New Roman" w:hAnsi="Times New Roman"/>
          <w:color w:val="2e74b4" w:themeColor="accent1" w:themeShade="bf"/>
          <w:sz w:val="24"/>
          <w:szCs w:val="24"/>
          <w:shd w:val="clear" w:color="auto" w:fill="dedede"/>
        </w:rPr>
        <w:t>learning</w:t>
      </w:r>
      <w:r>
        <w:rPr>
          <w:rFonts w:ascii="Times New Roman" w:cs="Times New Roman" w:hAnsi="Times New Roman"/>
          <w:color w:val="2e74b4" w:themeColor="accent1" w:themeShade="bf"/>
          <w:sz w:val="24"/>
          <w:szCs w:val="24"/>
        </w:rPr>
        <w:t> training generates outperforming results compared to traditional methods for bankruptcy forecasting and risk measurement.</w:t>
      </w:r>
      <w:r>
        <w:rPr>
          <w:rFonts w:ascii="Times New Roman" w:cs="Times New Roman" w:hAnsi="Times New Roman"/>
          <w:color w:val="2e74b4" w:themeColor="accent1" w:themeShade="bf"/>
          <w:sz w:val="24"/>
          <w:szCs w:val="24"/>
        </w:rPr>
        <w:t xml:space="preserve"> </w:t>
      </w:r>
    </w:p>
    <w:p>
      <w:pPr>
        <w:jc w:val="both"/>
        <w:rPr>
          <w:rFonts w:ascii="Times New Roman" w:cs="Times New Roman" w:hAnsi="Times New Roman"/>
          <w:color w:val="333333"/>
          <w:sz w:val="24"/>
          <w:szCs w:val="24"/>
        </w:rPr>
      </w:pPr>
      <w:r>
        <w:rPr>
          <w:rFonts w:ascii="Times New Roman" w:cs="Times New Roman" w:hAnsi="Times New Roman"/>
          <w:color w:val="333333"/>
          <w:sz w:val="24"/>
          <w:szCs w:val="24"/>
        </w:rPr>
        <w:t>---------------------------------------------------------------------------------------------------------------------</w:t>
      </w:r>
    </w:p>
    <w:p>
      <w:pPr>
        <w:jc w:val="both"/>
        <w:rPr>
          <w:rFonts w:ascii="Times New Roman" w:cs="Times New Roman" w:hAnsi="Times New Roman"/>
          <w:b/>
          <w:color w:val="333333"/>
          <w:sz w:val="24"/>
          <w:szCs w:val="24"/>
        </w:rPr>
      </w:pPr>
      <w:r>
        <w:rPr>
          <w:rFonts w:ascii="Times New Roman" w:cs="Times New Roman" w:hAnsi="Times New Roman"/>
          <w:b/>
          <w:color w:val="333333"/>
          <w:sz w:val="24"/>
          <w:szCs w:val="24"/>
        </w:rPr>
        <w:t>Abstract 2</w:t>
      </w:r>
    </w:p>
    <w:p>
      <w:pPr>
        <w:jc w:val="both"/>
        <w:rPr>
          <w:rFonts w:ascii="Times New Roman" w:cs="Times New Roman" w:hAnsi="Times New Roman"/>
          <w:color w:val="0070c0"/>
          <w:sz w:val="24"/>
          <w:szCs w:val="24"/>
        </w:rPr>
      </w:pPr>
      <w:r>
        <w:rPr>
          <w:rFonts w:ascii="Times New Roman" w:cs="Times New Roman" w:hAnsi="Times New Roman"/>
          <w:color w:val="ff0000"/>
          <w:sz w:val="24"/>
          <w:szCs w:val="24"/>
        </w:rPr>
        <w:t>In the last decades, the technological and scientific evolution of the </w:t>
      </w:r>
      <w:r>
        <w:rPr>
          <w:rStyle w:val="Single_highlight_class"/>
          <w:rFonts w:ascii="Times New Roman" w:cs="Times New Roman" w:hAnsi="Times New Roman"/>
          <w:color w:val="ff0000"/>
          <w:sz w:val="24"/>
          <w:szCs w:val="24"/>
          <w:shd w:val="clear" w:color="auto" w:fill="dedede"/>
        </w:rPr>
        <w:t>computing</w:t>
      </w:r>
      <w:r>
        <w:rPr>
          <w:rFonts w:ascii="Times New Roman" w:cs="Times New Roman" w:hAnsi="Times New Roman"/>
          <w:color w:val="ff0000"/>
          <w:sz w:val="24"/>
          <w:szCs w:val="24"/>
        </w:rPr>
        <w:t> discipline has been widely affecting research in software engineering education, which nowadays advocates more enlightened and liberal ideas.</w:t>
      </w:r>
      <w:r>
        <w:rPr>
          <w:rFonts w:ascii="Times New Roman" w:cs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833c0b" w:themeColor="accent2" w:themeShade="80"/>
          <w:sz w:val="24"/>
          <w:szCs w:val="24"/>
        </w:rPr>
        <w:t>This article reviews cross-disciplinary research on a </w:t>
      </w:r>
      <w:r>
        <w:rPr>
          <w:rStyle w:val="Single_highlight_class"/>
          <w:rFonts w:ascii="Times New Roman" w:cs="Times New Roman" w:hAnsi="Times New Roman"/>
          <w:color w:val="833c0b" w:themeColor="accent2" w:themeShade="80"/>
          <w:sz w:val="24"/>
          <w:szCs w:val="24"/>
          <w:shd w:val="clear" w:color="auto" w:fill="dedede"/>
        </w:rPr>
        <w:t>computer</w:t>
      </w:r>
      <w:r>
        <w:rPr>
          <w:rFonts w:ascii="Times New Roman" w:cs="Times New Roman" w:hAnsi="Times New Roman"/>
          <w:color w:val="833c0b" w:themeColor="accent2" w:themeShade="80"/>
          <w:sz w:val="24"/>
          <w:szCs w:val="24"/>
        </w:rPr>
        <w:t> </w:t>
      </w:r>
      <w:r>
        <w:rPr>
          <w:rStyle w:val="Single_highlight_class"/>
          <w:rFonts w:ascii="Times New Roman" w:cs="Times New Roman" w:hAnsi="Times New Roman"/>
          <w:color w:val="833c0b" w:themeColor="accent2" w:themeShade="80"/>
          <w:sz w:val="24"/>
          <w:szCs w:val="24"/>
          <w:shd w:val="clear" w:color="auto" w:fill="dedede"/>
        </w:rPr>
        <w:t>architecture</w:t>
      </w:r>
      <w:r>
        <w:rPr>
          <w:rFonts w:ascii="Times New Roman" w:cs="Times New Roman" w:hAnsi="Times New Roman"/>
          <w:color w:val="833c0b" w:themeColor="accent2" w:themeShade="80"/>
          <w:sz w:val="24"/>
          <w:szCs w:val="24"/>
        </w:rPr>
        <w:t> class in consideration of its switching to microcomputer </w:t>
      </w:r>
      <w:r>
        <w:rPr>
          <w:rStyle w:val="Single_highlight_class"/>
          <w:rFonts w:ascii="Times New Roman" w:cs="Times New Roman" w:hAnsi="Times New Roman"/>
          <w:color w:val="833c0b" w:themeColor="accent2" w:themeShade="80"/>
          <w:sz w:val="24"/>
          <w:szCs w:val="24"/>
          <w:shd w:val="clear" w:color="auto" w:fill="dedede"/>
        </w:rPr>
        <w:t>architecture</w:t>
      </w:r>
      <w:r>
        <w:rPr>
          <w:rFonts w:ascii="Times New Roman" w:cs="Times New Roman" w:hAnsi="Times New Roman"/>
          <w:color w:val="c937cd"/>
          <w:sz w:val="24"/>
          <w:szCs w:val="24"/>
        </w:rPr>
        <w:t>.</w:t>
      </w:r>
      <w:r>
        <w:rPr>
          <w:rFonts w:ascii="Times New Roman" w:cs="Times New Roman" w:hAnsi="Times New Roman"/>
          <w:color w:val="c937cd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c937cd"/>
          <w:sz w:val="24"/>
          <w:szCs w:val="24"/>
        </w:rPr>
        <w:t>The authors present their strategies towards a successful crossing of boundaries b</w:t>
      </w:r>
      <w:r>
        <w:rPr>
          <w:rFonts w:ascii="Times New Roman" w:cs="Times New Roman" w:hAnsi="Times New Roman"/>
          <w:color w:val="c937cd"/>
          <w:sz w:val="24"/>
          <w:szCs w:val="24"/>
        </w:rPr>
        <w:t>etween engineering disciplines.</w:t>
      </w:r>
      <w:r>
        <w:rPr>
          <w:rFonts w:ascii="Times New Roman" w:cs="Times New Roman" w:hAnsi="Times New Roman"/>
          <w:color w:val="008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70c0"/>
          <w:sz w:val="24"/>
          <w:szCs w:val="24"/>
        </w:rPr>
        <w:t>This communication aims at providing a different aspect o</w:t>
      </w:r>
      <w:r>
        <w:rPr>
          <w:rFonts w:ascii="Times New Roman" w:cs="Times New Roman" w:hAnsi="Times New Roman"/>
          <w:color w:val="0070c0"/>
          <w:sz w:val="24"/>
          <w:szCs w:val="24"/>
        </w:rPr>
        <w:t xml:space="preserve">n professional courses that are </w:t>
      </w:r>
      <w:r>
        <w:rPr>
          <w:rFonts w:ascii="Times New Roman" w:cs="Times New Roman" w:hAnsi="Times New Roman"/>
          <w:color w:val="0070c0"/>
          <w:sz w:val="24"/>
          <w:szCs w:val="24"/>
        </w:rPr>
        <w:t>nowadays, addressed at the expense of traditional courses.</w:t>
      </w:r>
      <w:r>
        <w:rPr>
          <w:rFonts w:ascii="Times New Roman" w:cs="Times New Roman" w:hAnsi="Times New Roman"/>
          <w:color w:val="0070c0"/>
          <w:sz w:val="24"/>
          <w:szCs w:val="24"/>
        </w:rPr>
        <w:t xml:space="preserve"> </w:t>
      </w:r>
    </w:p>
    <w:p>
      <w:pPr>
        <w:jc w:val="both"/>
        <w:rPr>
          <w:rFonts w:ascii="Times New Roman" w:cs="Times New Roman" w:hAnsi="Times New Roman"/>
          <w:color w:val="0070c0"/>
          <w:sz w:val="24"/>
          <w:szCs w:val="24"/>
        </w:rPr>
      </w:pPr>
    </w:p>
    <w:p>
      <w:pPr>
        <w:jc w:val="both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Motivation = Red</w:t>
      </w:r>
    </w:p>
    <w:p>
      <w:pPr>
        <w:jc w:val="both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Problem = Orange</w:t>
      </w:r>
    </w:p>
    <w:p>
      <w:pPr>
        <w:jc w:val="both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Methodology = Purple</w:t>
      </w:r>
    </w:p>
    <w:p>
      <w:pPr>
        <w:jc w:val="both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Conclusion = Blue</w:t>
      </w:r>
    </w:p>
    <w:p>
      <w:pPr>
        <w:jc w:val="both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Result = Green</w:t>
      </w:r>
    </w:p>
    <w:p>
      <w:pPr>
        <w:jc w:val="both"/>
        <w:rPr>
          <w:rFonts w:ascii="Times New Roman" w:cs="Times New Roman" w:hAnsi="Times New Roman"/>
          <w:b/>
          <w:color w:val="333333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Segoe UI">
    <w:panose1 w:val="020b0502040204020203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/>
  <w:endnotePr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A9"/>
    <w:rsid w:val="00066DD1"/>
    <w:rsid w:val="000A71CF"/>
    <w:rsid w:val="002763A1"/>
    <w:rsid w:val="00341ED0"/>
    <w:rsid w:val="00353B10"/>
    <w:rsid w:val="005D5C91"/>
    <w:rsid w:val="00653FF1"/>
    <w:rsid w:val="008163C4"/>
    <w:rsid w:val="00840983"/>
    <w:rsid w:val="008C2C84"/>
    <w:rsid w:val="009750B2"/>
    <w:rsid w:val="00987320"/>
    <w:rsid w:val="00D122A9"/>
    <w:rsid w:val="00F6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C16E"/>
  <w15:chartTrackingRefBased/>
  <w15:docId w15:val="{CC013441-7D1E-41A7-98A5-546735C5EBBB}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Single_highlight_class">
    <w:name w:val="Single_highlight_class"/>
    <w:basedOn w:val="DefaultParagraphFont"/>
    <w:uiPriority w:val="99"/>
  </w:style>
  <w:style w:type="character" w:styleId="Annotationreference">
    <w:name w:val="Annotation reference"/>
    <w:basedOn w:val="DefaultParagraphFont"/>
    <w:uiPriority w:val="99"/>
    <w:semiHidden w:val="on"/>
    <w:unhideWhenUsed w:val="on"/>
    <w:unhideWhenUsed w:val="on"/>
    <w:rPr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 w:val="on"/>
    <w:unhideWhenUsed w:val="on"/>
    <w:unhideWhenUsed w:val="on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Annotationtext"/>
    <w:uiPriority w:val="99"/>
    <w:semiHidden w:val="on"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 w:val="on"/>
    <w:unhideWhenUsed w:val="on"/>
    <w:unhideWhenUsed w:val="on"/>
    <w:rPr>
      <w:b/>
      <w:bCs/>
    </w:rPr>
  </w:style>
  <w:style w:type="character" w:customStyle="1" w:styleId="CommentSubjectChar">
    <w:name w:val="Comment Subject Char"/>
    <w:basedOn w:val="CommentTextChar"/>
    <w:link w:val="Annotationsubject"/>
    <w:uiPriority w:val="99"/>
    <w:semiHidden w:val="on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Javeria Ali</dc:creator>
  <cp:lastModifiedBy>Eisha Mazhar</cp:lastModifiedBy>
</cp:coreProperties>
</file>