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Feature List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(AWS). Rule-based NLP, fully offline.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Core analysis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Natural-language prompt analysis - accepts a plain-English AWS infrastructure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detection - recognises 59 AWS services (S3, EC2, RDS, Lambda, IAM, EKS, DynamoDB, CloudFront, WAF, KMS, and more), including synonyms and regex aliases.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Security requirement detection - recognises controls already stated in the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- flags omitted controls such as encryption, IAM scope, public access, audit logging, data residency, backups and key rotation.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 - catches 0.0.0.0/0, public buckets, wildcard/admin IAM, hard-coded secrets, and disabled logging / backups / MFA.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Negation handling - "do not make it public" is not treated as public; double negatives are handled ("not unencrypted" = encrypted).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Standards-grounded taxonomy - 30 controls mapped to CIS AWS, AWS Well-Architected, AWS Foundational Security Best Practices, NIST SP 800-53 and GDPR / DPDP.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 - 0-100 with CRITICAL / HIGH / MEDIUM / LOW.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Confidence score - 0-100 (high / medium / low) indicating how complete the analysis 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Baseline mode - unrecognised prompts still receive baseline AWS controls; never returns an empty result.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Targeted recommendations - each finding explained in plain language, with standards references and the resource it applies to.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"Add clause" - every missing control becomes a ready-to-add clause.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Fillable / improved prompt - builds the hardened prompt live as clauses are accepted.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Copy improved prompt.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Integration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Toolbar popup UI - type or paste a prompt and analyse 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In-page floating button on ChatGPT, Claude and Gemini - analyses the text already in the chat composer.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Options page - settings, organisation policy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CLI - analyze, analyze-file, improved, hook, with --json, --strict and --policy.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 hook - non-zero exit code on HIGH or CRITICAL findings.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Analysis history - last 20 analyses stored locally.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Custom organisation policy - paste JSON rules for always-required controls and banned patterns.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Strict mode - treats medium-severity omissions as high.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Optional AI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deep scan - off by default.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 tier - uses the browser's built-in model (Gemini Nano) with no API key and no network.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Hosted tier - any OpenAI-compatible endpoint, using the user's own API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Source badges - every finding is marked as rule-based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Auto deep scan - runs automatically when rule confidence is low.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Privacy and safety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sign-in, no account, no backend server.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Fully offline rule engine; nothing is uploaded.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Only two permissions requested: storage and clipboardWrite.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 access is limited to four AI chat sites and the optional API endpoint.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Quality assurance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29 unit tests covering the engine, the renderer and the deep-scan client.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over 112 hand-labelled AWS prompts, reporting precision, recall, F1 and negation-trap accuracy.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Downstream proof - insecure versus hardened Terraform, 6 issues reduced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One-command packaging script for the browser store.</w:t>
      </w:r>
    </w:p>
    <w:sectPr>
      <w:pgSz w:w="11906" w:h="16838"/>
      <w:pgMar w:top="1134" w:right="1134" w:bottom="1134" w:left="1134"/>
    </w:sectPr>
  </w:body>
</w:document>
</file>