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Proposal for ITE 399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Villa, Marlon Jims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Eng, Marian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Uyguangco, Francis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Solidor, Rodelyn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Title: "Healthy living"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Purpose: To provide information and resources on living a healthy lifestyle.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 of possible content: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Home Page: A brief introduction to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website and its purpose, with links 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other pages.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About Us: Information about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website's creators and their mission 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promote healthy living.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Healthy Eating: Tips and resources for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maintaining a healthy diet, including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recipes and meal plans.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Exercise: Advice and resources for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incorporating exercise into daily life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 workout ideas and recommended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activities.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Mental Health: Information 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managing stress, anxiety, and other mental health concerns, with tips for self-care.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Resources: A collection of links 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other websites, articles, and resourcesy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 healthy living.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How HCI is relevant to our webpage?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Navigation: The website can use clear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intuitive navigation elements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help users find the information they are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looking for quickly and easily.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Consistency: By using a consistent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layout, color scheme, and typography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throughout the website, users can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quickly get a sense of the website's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brand and design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Accessibility: The website can be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designed to be accessible to all users.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