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50786E3" w14:textId="77777777" w:rsidR="00F96B22" w:rsidRDefault="00000000">
      <w:pPr>
        <w:pStyle w:val="Title"/>
      </w:pPr>
      <w:r>
        <w:t xml:space="preserve">Lorem ipsum </w:t>
      </w:r>
    </w:p>
    <w:p w14:paraId="2CCE7A66" w14:textId="77777777" w:rsidR="00F96B22" w:rsidRDefault="00F96B2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083A5CEC" w14:textId="77777777" w:rsidR="00F96B22" w:rsidRDefault="00000000">
      <w:pPr>
        <w:pStyle w:val="Heading1"/>
        <w:numPr>
          <w:ilvl w:val="0"/>
          <w:numId w:val="1"/>
        </w:numPr>
        <w:ind w:left="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</w:p>
    <w:p w14:paraId="420B703F" w14:textId="77777777" w:rsidR="00F96B22" w:rsidRDefault="00F96B2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475B40A8" w14:textId="22812F12" w:rsidR="00F96B22" w:rsidRDefault="00000000" w:rsidP="00C36B9C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Vestibulum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massa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 w:cs="DejaVu Sans"/>
          <w:color w:val="000000"/>
          <w:sz w:val="21"/>
        </w:rPr>
        <w:t>Praesent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 w:cs="DejaVu Sans"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 w:cs="DejaVu Sans"/>
          <w:color w:val="000000"/>
          <w:sz w:val="21"/>
        </w:rPr>
        <w:t>porttitor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lacinia nisi. Ut ac dolor vitae </w:t>
      </w:r>
      <w:proofErr w:type="spellStart"/>
      <w:r>
        <w:rPr>
          <w:rFonts w:ascii="DejaVu Sans" w:hAnsi="DejaVu Sans" w:cs="DejaVu Sans"/>
          <w:color w:val="000000"/>
          <w:sz w:val="21"/>
        </w:rPr>
        <w:t>odio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interdum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ipsum cursus convallis. Maecenas sed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  <w:r>
        <w:rPr>
          <w:rFonts w:ascii="DejaVu Sans" w:hAnsi="DejaVu Sans" w:cs="DejaVu Sans"/>
          <w:color w:val="000000"/>
          <w:sz w:val="21"/>
        </w:rPr>
        <w:t xml:space="preserve">Mauris diam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 w:cs="DejaVu Sans"/>
          <w:color w:val="000000"/>
          <w:sz w:val="21"/>
        </w:rPr>
        <w:t>suscipit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et,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</w:p>
    <w:p w14:paraId="660F91C7" w14:textId="10ADA49F" w:rsidR="00F96B22" w:rsidRPr="00C36B9C" w:rsidRDefault="00000000" w:rsidP="00C36B9C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</w:pPr>
      <w:r>
        <w:rPr>
          <w:noProof/>
        </w:rPr>
        <w:drawing>
          <wp:inline distT="0" distB="0" distL="0" distR="0" wp14:anchorId="7E586052" wp14:editId="1F74329C">
            <wp:extent cx="4098290" cy="205930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96B22" w:rsidRPr="00C36B9C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E6C32"/>
    <w:multiLevelType w:val="multilevel"/>
    <w:tmpl w:val="360CD74A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1" w15:restartNumberingAfterBreak="0">
    <w:nsid w:val="3B707BDD"/>
    <w:multiLevelType w:val="multilevel"/>
    <w:tmpl w:val="30B2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F616F30"/>
    <w:multiLevelType w:val="multilevel"/>
    <w:tmpl w:val="8272D8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049039927">
    <w:abstractNumId w:val="0"/>
  </w:num>
  <w:num w:numId="2" w16cid:durableId="479419660">
    <w:abstractNumId w:val="1"/>
  </w:num>
  <w:num w:numId="3" w16cid:durableId="2015765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B22"/>
    <w:rsid w:val="005A3386"/>
    <w:rsid w:val="00C36B9C"/>
    <w:rsid w:val="00F9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1A21"/>
  <w15:docId w15:val="{DD6F396D-A2CC-4BA5-AE5D-695EFE47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Heading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1"/>
  <c:style val="2"/>
  <c:chart>
    <c:autoTitleDeleted val="1"/>
    <c:plotArea>
      <c:layout/>
      <c:barChart>
        <c:barDir val="col"/>
        <c:grouping val="clustered"/>
        <c:varyColors val="1"/>
        <c:ser>
          <c:idx val="1"/>
          <c:order val="0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1-73F3-4DA5-9D99-8419AAF06208}"/>
            </c:ext>
          </c:extLst>
        </c:ser>
        <c:ser>
          <c:idx val="2"/>
          <c:order val="1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2-73F3-4DA5-9D99-8419AAF062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39601446"/>
        <c:axId val="7561470"/>
      </c:barChart>
      <c:catAx>
        <c:axId val="3960144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561470"/>
        <c:crossesAt val="0"/>
        <c:auto val="1"/>
        <c:lblAlgn val="ctr"/>
        <c:lblOffset val="100"/>
        <c:noMultiLvlLbl val="1"/>
      </c:catAx>
      <c:valAx>
        <c:axId val="756147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9601446"/>
        <c:crossesAt val="0"/>
        <c:crossBetween val="between"/>
      </c:valAx>
      <c:spPr>
        <a:noFill/>
        <a:ln w="25400"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991905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EJAZ M. Din</cp:lastModifiedBy>
  <cp:revision>2</cp:revision>
  <dcterms:created xsi:type="dcterms:W3CDTF">2017-08-02T11:09:00Z</dcterms:created>
  <dcterms:modified xsi:type="dcterms:W3CDTF">2024-09-02T11:06:00Z</dcterms:modified>
  <dc:language>en-US</dc:language>
</cp:coreProperties>
</file>