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Semantic Room Graphs from 2D SLAM for Instruction-to-Goal Navigation</w:t>
      </w:r>
    </w:p>
    <w:p>
      <w:pPr>
        <w:pStyle w:val="Heading1"/>
      </w:pPr>
      <w:r>
        <w:t>1. Core Idea</w:t>
      </w:r>
    </w:p>
    <w:p>
      <w:r>
        <w:t>We propose a lightweight ROS2 pipeline that transforms 2D occupancy maps into a queryable semantic room graph by leveraging region segmentation and localized visual evidence (OCR + VLM), enabling instruction-to-goal navigation in real environments.</w:t>
      </w:r>
    </w:p>
    <w:p>
      <w:pPr>
        <w:pStyle w:val="Heading1"/>
      </w:pPr>
      <w:r>
        <w:t>2. System Overview</w:t>
      </w:r>
    </w:p>
    <w:p>
      <w:r>
        <w:t>The system is divided into two stages:</w:t>
        <w:br/>
        <w:t>Stage A: Offline semantic graph construction</w:t>
        <w:br/>
        <w:t>Stage B: Instruction-to-goal inference</w:t>
        <w:br/>
        <w:t>This design ensures robustness, reproducibility, and feasibility within constrained development time.</w:t>
      </w:r>
    </w:p>
    <w:p>
      <w:pPr>
        <w:pStyle w:val="Heading1"/>
      </w:pPr>
      <w:r>
        <w:t>3. State of the Art</w:t>
      </w:r>
    </w:p>
    <w:p>
      <w:r>
        <w:t>Existing works such as VLMaps and HOV-SG rely on heavy 3D representations.</w:t>
        <w:br/>
        <w:t>Classical room segmentation from occupancy grids is well established but lacks semantic grounding.</w:t>
        <w:br/>
        <w:t>Our approach bridges this gap with a lightweight 2D-based, ROS2-integrated pipeline using grounded semantic evidence.</w:t>
      </w:r>
    </w:p>
    <w:p>
      <w:pPr>
        <w:pStyle w:val="Heading1"/>
      </w:pPr>
      <w:r>
        <w:t>4. Contributions</w:t>
      </w:r>
    </w:p>
    <w:p>
      <w:r>
        <w:t>1. A lightweight ROS2 pipeline from 2D SLAM to semantic room graph.</w:t>
        <w:br/>
        <w:t>2. Grounded semantic labeling using OCR and VLM with explicit evidence.</w:t>
        <w:br/>
        <w:t>3. Queryable graph representation enabling instruction-to-goal navigation.</w:t>
        <w:br/>
        <w:t>4. Practical deployability on real robots.</w:t>
      </w:r>
    </w:p>
    <w:p>
      <w:pPr>
        <w:pStyle w:val="Heading1"/>
      </w:pPr>
      <w:r>
        <w:t>5. Pipeline Design</w:t>
      </w:r>
    </w:p>
    <w:p>
      <w:r>
        <w:t>Stage A:</w:t>
        <w:br/>
        <w:t>- Map ingestion (OccupancyGrid)</w:t>
        <w:br/>
        <w:t>- Region segmentation</w:t>
        <w:br/>
        <w:t>- Topological graph construction</w:t>
        <w:br/>
        <w:t>- Pose generation (entry + inspection)</w:t>
        <w:br/>
        <w:t>- Exploration planning and execution</w:t>
        <w:br/>
        <w:t>- Visual data collection</w:t>
        <w:br/>
        <w:t>- Semantic annotation (OCR + VLM)</w:t>
        <w:br/>
        <w:t>- Semantic graph storage</w:t>
        <w:br/>
        <w:br/>
        <w:t>Stage B:</w:t>
        <w:br/>
        <w:t>- Instruction parsing</w:t>
        <w:br/>
        <w:t>- Deterministic lookup</w:t>
        <w:br/>
        <w:t>- Semantic fallback (LLM candidate generation)</w:t>
        <w:br/>
        <w:t>- Candidate projection and scoring</w:t>
        <w:br/>
        <w:t>- Goal resolution</w:t>
        <w:br/>
        <w:t>- Navigation execution</w:t>
      </w:r>
    </w:p>
    <w:p>
      <w:pPr>
        <w:pStyle w:val="Heading1"/>
      </w:pPr>
      <w:r>
        <w:t>6. Graph Representation</w:t>
      </w:r>
    </w:p>
    <w:p>
      <w:r>
        <w:t>Each region node contains:</w:t>
        <w:br/>
        <w:t>- region_id</w:t>
        <w:br/>
        <w:t>- entry_pose</w:t>
        <w:br/>
        <w:t>- inspection_pose (optional)</w:t>
        <w:br/>
        <w:t>- status (unexplored, explored, partially_labeled, labeled)</w:t>
        <w:br/>
        <w:t>- semantic_label</w:t>
        <w:br/>
        <w:t>- label_confidence</w:t>
        <w:br/>
        <w:t>- region_type_geom</w:t>
        <w:br/>
        <w:t>- ocr_text</w:t>
        <w:br/>
        <w:t>- neighbors</w:t>
        <w:br/>
      </w:r>
    </w:p>
    <w:p>
      <w:pPr>
        <w:pStyle w:val="Heading1"/>
      </w:pPr>
      <w:r>
        <w:t>7. ROS2 Architecture</w:t>
      </w:r>
    </w:p>
    <w:p>
      <w:r>
        <w:t>The system is implemented as a modular ROS2 architecture composed of multiple nodes grouped into packages:</w:t>
        <w:br/>
        <w:br/>
        <w:t>Packages:</w:t>
        <w:br/>
        <w:t>- semantic_map_msgs</w:t>
        <w:br/>
        <w:t>- semantic_map_core</w:t>
        <w:br/>
        <w:t>- semantic_map_perception</w:t>
        <w:br/>
        <w:t>- semantic_map_query</w:t>
        <w:br/>
        <w:br/>
        <w:t>Main nodes:</w:t>
        <w:br/>
        <w:t>- map_ingestor_node</w:t>
        <w:br/>
        <w:t>- region_segmentation_node</w:t>
        <w:br/>
        <w:t>- topological_graph_builder_node</w:t>
        <w:br/>
        <w:t>- pose_generator_node</w:t>
        <w:br/>
        <w:t>- exploration_planner_node</w:t>
        <w:br/>
        <w:t>- navigator_executor_node</w:t>
        <w:br/>
        <w:t>- perception_collector_node</w:t>
        <w:br/>
        <w:t>- ocr_node</w:t>
        <w:br/>
        <w:t>- vlm_labeler_node</w:t>
        <w:br/>
        <w:t>- semantic_fusion_node</w:t>
        <w:br/>
        <w:t>- graph_store_node</w:t>
        <w:br/>
        <w:t>- instruction_parser_node</w:t>
        <w:br/>
        <w:t>- semantic_retriever_node</w:t>
        <w:br/>
        <w:t>- goal_resolver_node</w:t>
        <w:br/>
        <w:t>- task_navigator_node</w:t>
        <w:br/>
      </w:r>
    </w:p>
    <w:p>
      <w:pPr>
        <w:pStyle w:val="Heading1"/>
      </w:pPr>
      <w:r>
        <w:t>8. Semantic Fusion Strategy</w:t>
      </w:r>
    </w:p>
    <w:p>
      <w:r>
        <w:t>The system prioritizes explicit textual evidence (OCR) over visual inference (VLM).</w:t>
        <w:br/>
        <w:t>OCR is used for identifiers (numbers, names), while VLM provides semantic classification.</w:t>
        <w:br/>
        <w:t>A region is labeled when visited and either OCR is valid or VLM confidence exceeds a threshold.</w:t>
      </w:r>
    </w:p>
    <w:p>
      <w:pPr>
        <w:pStyle w:val="Heading1"/>
      </w:pPr>
      <w:r>
        <w:t>9. Query Mechanism</w:t>
      </w:r>
    </w:p>
    <w:p>
      <w:r>
        <w:t>The system follows a two-stage query process:</w:t>
        <w:br/>
        <w:t>1. Deterministic lookup (OCR and labels)</w:t>
        <w:br/>
        <w:t>2. Semantic fallback using a language model generating ranked candidates</w:t>
        <w:br/>
        <w:t>Candidates are projected onto known categories and matched against the graph.</w:t>
        <w:br/>
        <w:t>The closest valid region is selected as the goal.</w:t>
      </w:r>
    </w:p>
    <w:p>
      <w:pPr>
        <w:pStyle w:val="Heading1"/>
      </w:pPr>
      <w:r>
        <w:t>10. Experiments</w:t>
      </w:r>
    </w:p>
    <w:p>
      <w:r>
        <w:t>Experiment 1: Semantic labeling accuracy</w:t>
        <w:br/>
        <w:t>Experiment 2: Instruction-to-goal success rate</w:t>
        <w:br/>
        <w:t>Experiment 3: Navigation performance (time, success, path efficiency)</w:t>
        <w:br/>
      </w:r>
    </w:p>
    <w:p>
      <w:pPr>
        <w:pStyle w:val="Heading1"/>
      </w:pPr>
      <w:r>
        <w:t>11. Future Work</w:t>
      </w:r>
    </w:p>
    <w:p>
      <w:r>
        <w:t>- Online semantic map updates</w:t>
        <w:br/>
        <w:t>- Interactive disambiguation with users</w:t>
        <w:br/>
        <w:t>- Semantic-aware social navigation integration (SFM)</w:t>
        <w:br/>
        <w:t>- Advanced semantic retrieval with embeddings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