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0F172A"/>
          <w:sz w:val="28"/>
          <w:szCs w:val="28"/>
        </w:rPr>
        <w:t xml:space="preserve">AIO SYSTEM OPERATIONS &amp; ASSET MANAGEMENT PROCEDURE</w:t>
      </w:r>
    </w:p>
    <w:p>
      <w:pPr>
        <w:jc w:val="center"/>
      </w:pPr>
      <w:r>
        <w:rPr>
          <w:rFonts w:ascii="Calibri" w:cs="Calibri" w:eastAsia="Calibri" w:hAnsi="Calibri"/>
          <w:b/>
          <w:bCs/>
          <w:sz w:val="20"/>
          <w:szCs w:val="20"/>
        </w:rPr>
        <w:t xml:space="preserve">BUBBLES O2 SDN. BHD.</w:t>
      </w:r>
    </w:p>
    <w:p>
      <w:pPr>
        <w:jc w:val="center"/>
      </w:pPr>
      <w:r>
        <w:rPr>
          <w:rFonts w:ascii="Calibri" w:cs="Calibri" w:eastAsia="Calibri" w:hAnsi="Calibri"/>
          <w:color w:val="475569"/>
          <w:sz w:val="18"/>
          <w:szCs w:val="18"/>
        </w:rPr>
        <w:t xml:space="preserve">Lot 4494, 4495, 4498, 4499, Kawasan Perindustrian Halal MIEL, Kampung Merbau Sembilan, 71400 Pedas, Negeri Sembilan</w:t>
      </w:r>
    </w:p>
    <w:p>
      <w:pPr>
        <w:spacing w:after="200"/>
      </w:pP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gridCol w:w="100"/>
        <w:gridCol w:w="100"/>
      </w:tblGrid>
      <w:tr>
        <w:trPr>
          <w:tblHeader/>
        </w:trPr>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Revision</w:t>
            </w:r>
          </w:p>
        </w:tc>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Date</w:t>
            </w:r>
          </w:p>
        </w:tc>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Description</w:t>
            </w:r>
          </w:p>
        </w:tc>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By</w:t>
            </w:r>
          </w:p>
        </w:tc>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Review</w:t>
            </w:r>
          </w:p>
        </w:tc>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Approve</w:t>
            </w:r>
          </w:p>
        </w:tc>
      </w:tr>
      <w:tr>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1</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24/08/2026</w:t>
            </w:r>
          </w:p>
        </w:tc>
        <w:tc>
          <w:tcPr>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Initial Document creation.</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ITD</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MR</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MGR</w:t>
            </w:r>
          </w:p>
        </w:tc>
      </w:tr>
      <w:tr>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2</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28/08/2026</w:t>
            </w:r>
          </w:p>
        </w:tc>
        <w:tc>
          <w:tcPr>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Expanded detail for Service Level Agreements (SLA), Roles &amp; Responsibilities, and detailed Asset Lifecycle management per management review.</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ITD</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MR</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MGR</w:t>
            </w:r>
          </w:p>
        </w:tc>
      </w:tr>
    </w:tbl>
    <w:p>
      <w:pPr>
        <w:pStyle w:val="Heading2"/>
        <w:spacing w:after="120" w:before="280"/>
      </w:pPr>
      <w:r>
        <w:rPr>
          <w:rFonts w:ascii="Calibri" w:cs="Calibri" w:eastAsia="Calibri" w:hAnsi="Calibri"/>
          <w:b/>
          <w:bCs/>
          <w:color w:val="1E293B"/>
          <w:sz w:val="22"/>
          <w:szCs w:val="22"/>
        </w:rPr>
        <w:t xml:space="preserve">1.0 OBJECTIVE</w:t>
      </w:r>
    </w:p>
    <w:p>
      <w:pPr>
        <w:spacing w:after="60" w:before="60"/>
      </w:pPr>
      <w:r>
        <w:rPr>
          <w:rFonts w:ascii="Calibri" w:cs="Calibri" w:eastAsia="Calibri" w:hAnsi="Calibri"/>
          <w:b w:val="false"/>
          <w:bCs w:val="false"/>
          <w:sz w:val="19"/>
          <w:szCs w:val="19"/>
        </w:rPr>
        <w:t xml:space="preserve">The primary objective of this Standard Operating Procedure (SOP) is to establish a standardized, highly controlled framework for managing IT Helpdesk Support and Information Communication Technology (ICT) Asset Management. By leveraging the BubblesO2 All-in-One (AIO) System, this procedure ensures:</w:t>
      </w:r>
    </w:p>
    <w:p>
      <w:pPr>
        <w:pStyle w:val="ListParagraph"/>
        <w:numPr>
          <w:ilvl w:val="0"/>
          <w:numId w:val="1"/>
        </w:numPr>
        <w:spacing w:after="40" w:before="40"/>
      </w:pPr>
      <w:r>
        <w:rPr>
          <w:rFonts w:ascii="Calibri" w:cs="Calibri" w:eastAsia="Calibri" w:hAnsi="Calibri"/>
          <w:sz w:val="19"/>
          <w:szCs w:val="19"/>
        </w:rPr>
        <w:t xml:space="preserve">Systematic tracking and rapid resolution of all IT-related incidents and service requests.</w:t>
      </w:r>
    </w:p>
    <w:p>
      <w:pPr>
        <w:pStyle w:val="ListParagraph"/>
        <w:numPr>
          <w:ilvl w:val="0"/>
          <w:numId w:val="1"/>
        </w:numPr>
        <w:spacing w:after="40" w:before="40"/>
      </w:pPr>
      <w:r>
        <w:rPr>
          <w:rFonts w:ascii="Calibri" w:cs="Calibri" w:eastAsia="Calibri" w:hAnsi="Calibri"/>
          <w:sz w:val="19"/>
          <w:szCs w:val="19"/>
        </w:rPr>
        <w:t xml:space="preserve">Alignment with ITIL best practices for Incident Management and Service Fulfillment.</w:t>
      </w:r>
    </w:p>
    <w:p>
      <w:pPr>
        <w:pStyle w:val="ListParagraph"/>
        <w:numPr>
          <w:ilvl w:val="0"/>
          <w:numId w:val="1"/>
        </w:numPr>
        <w:spacing w:after="40" w:before="40"/>
      </w:pPr>
      <w:r>
        <w:rPr>
          <w:rFonts w:ascii="Calibri" w:cs="Calibri" w:eastAsia="Calibri" w:hAnsi="Calibri"/>
          <w:sz w:val="19"/>
          <w:szCs w:val="19"/>
        </w:rPr>
        <w:t xml:space="preserve">Comprehensive cradle-to-grave tracking of physical ICT assets to safeguard company capital expenditure.</w:t>
      </w:r>
    </w:p>
    <w:p>
      <w:pPr>
        <w:pStyle w:val="ListParagraph"/>
        <w:numPr>
          <w:ilvl w:val="0"/>
          <w:numId w:val="1"/>
        </w:numPr>
        <w:spacing w:after="40" w:before="40"/>
      </w:pPr>
      <w:r>
        <w:rPr>
          <w:rFonts w:ascii="Calibri" w:cs="Calibri" w:eastAsia="Calibri" w:hAnsi="Calibri"/>
          <w:sz w:val="19"/>
          <w:szCs w:val="19"/>
        </w:rPr>
        <w:t xml:space="preserve">Strict compliance with MS ISO 9001:2015 for operational planning and ISO/IEC 27001:2022 for asset security.</w:t>
      </w:r>
    </w:p>
    <w:p>
      <w:pPr>
        <w:pStyle w:val="Heading2"/>
        <w:spacing w:after="120" w:before="280"/>
      </w:pPr>
      <w:r>
        <w:rPr>
          <w:rFonts w:ascii="Calibri" w:cs="Calibri" w:eastAsia="Calibri" w:hAnsi="Calibri"/>
          <w:b/>
          <w:bCs/>
          <w:color w:val="1E293B"/>
          <w:sz w:val="22"/>
          <w:szCs w:val="22"/>
        </w:rPr>
        <w:t xml:space="preserve">2.0 SCOPE</w:t>
      </w:r>
    </w:p>
    <w:p>
      <w:pPr>
        <w:spacing w:after="60" w:before="60"/>
      </w:pPr>
      <w:r>
        <w:rPr>
          <w:rFonts w:ascii="Calibri" w:cs="Calibri" w:eastAsia="Calibri" w:hAnsi="Calibri"/>
          <w:b w:val="false"/>
          <w:bCs w:val="false"/>
          <w:sz w:val="19"/>
          <w:szCs w:val="19"/>
        </w:rPr>
        <w:t xml:space="preserve">This SOP encompasses all IT service requests, incident reports, and physical asset lifecycles across the BubblesO2 Headquarters, Factory (Kawasan Perindustrian Halal MIEL, Pedas), Warehouses, and any regional branch offices utilizing the AIO System. It applies to all permanent staff, contract employees, and authorized third-party vendors who interact with company-owned IT infrastructure.</w:t>
      </w:r>
    </w:p>
    <w:p>
      <w:pPr>
        <w:pStyle w:val="Heading2"/>
        <w:spacing w:after="120" w:before="280"/>
      </w:pPr>
      <w:r>
        <w:rPr>
          <w:rFonts w:ascii="Calibri" w:cs="Calibri" w:eastAsia="Calibri" w:hAnsi="Calibri"/>
          <w:b/>
          <w:bCs/>
          <w:color w:val="1E293B"/>
          <w:sz w:val="22"/>
          <w:szCs w:val="22"/>
        </w:rPr>
        <w:t xml:space="preserve">3.0 PROCEDURE / WORK INSTRUCTION</w:t>
      </w:r>
    </w:p>
    <w:p>
      <w:pPr>
        <w:pStyle w:val="Heading3"/>
        <w:spacing w:after="80" w:before="180"/>
      </w:pPr>
      <w:r>
        <w:rPr>
          <w:rFonts w:ascii="Calibri" w:cs="Calibri" w:eastAsia="Calibri" w:hAnsi="Calibri"/>
          <w:b/>
          <w:bCs/>
          <w:color w:val="334155"/>
          <w:sz w:val="20"/>
          <w:szCs w:val="20"/>
        </w:rPr>
        <w:t xml:space="preserve">3.1 Definition of Terms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tblGrid>
      <w:tr>
        <w:trPr>
          <w:tblHeader/>
        </w:trPr>
        <w:tc>
          <w:tcPr>
            <w:tcW w:type="pct" w:w="2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Term</w:t>
            </w:r>
          </w:p>
        </w:tc>
        <w:tc>
          <w:tcPr>
            <w:tcW w:type="pct" w:w="7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Definition</w:t>
            </w:r>
          </w:p>
        </w:tc>
      </w:tr>
      <w:tr>
        <w:tc>
          <w:tcPr>
            <w:tcW w:type="pct" w:w="25%"/>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Incident</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An unplanned interruption to an IT service or reduction in the quality of an IT service.</w:t>
            </w:r>
          </w:p>
        </w:tc>
      </w:tr>
      <w:tr>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Service Request</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 formal request from a user for something to be provided (e.g., software installation, new hardware).</w:t>
            </w:r>
          </w:p>
        </w:tc>
      </w:tr>
      <w:tr>
        <w:tc>
          <w:tcPr>
            <w:tcW w:type="pct" w:w="25%"/>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SLA</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Service Level Agreement; the defined target time within which an IT ticket must be addressed and resolved.</w:t>
            </w:r>
          </w:p>
        </w:tc>
      </w:tr>
      <w:tr>
        <w:tc>
          <w:tcPr>
            <w:tcW w:type="pct" w:w="25%"/>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ICT Asset</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Any hardware or software item of value owned by the company (e.g., Laptops, Printers, Network Switches).</w:t>
            </w:r>
          </w:p>
        </w:tc>
      </w:tr>
      <w:tr>
        <w:tc>
          <w:tcPr>
            <w:tcW w:type="pct" w:w="25%"/>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CAPA</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Corrective and Preventive Action; the process of investigating root causes and preventing recurrences.</w:t>
            </w:r>
          </w:p>
        </w:tc>
      </w:tr>
    </w:tbl>
    <w:p>
      <w:pPr>
        <w:pStyle w:val="Heading3"/>
        <w:spacing w:after="80" w:before="180"/>
      </w:pPr>
      <w:r>
        <w:rPr>
          <w:rFonts w:ascii="Calibri" w:cs="Calibri" w:eastAsia="Calibri" w:hAnsi="Calibri"/>
          <w:b/>
          <w:bCs/>
          <w:color w:val="334155"/>
          <w:sz w:val="20"/>
          <w:szCs w:val="20"/>
        </w:rPr>
        <w:t xml:space="preserve">3.2 Roles &amp; Responsibilities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tblGrid>
      <w:tr>
        <w:trPr>
          <w:tblHeader/>
        </w:trPr>
        <w:tc>
          <w:tcPr>
            <w:tcW w:type="pct" w:w="2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Role</w:t>
            </w:r>
          </w:p>
        </w:tc>
        <w:tc>
          <w:tcPr>
            <w:tcW w:type="pct" w:w="7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Responsibilities</w:t>
            </w:r>
          </w:p>
        </w:tc>
      </w:tr>
      <w:tr>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Head of Department (HOD)</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Approve service requests for their department, especially those involving capital expenditure or new software licenses. Escalate critical operational blockages.</w:t>
            </w:r>
          </w:p>
        </w:tc>
      </w:tr>
      <w:tr>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 Manager (ITM)</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Monitor overall SLA compliance. Review monthly Helpdesk metrics. Approve asset disposal and significant IT purchases. Oversee CAPA for recurring incidents.</w:t>
            </w:r>
          </w:p>
        </w:tc>
      </w:tr>
      <w:tr>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 Technician (ITT)</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Acknowledge, diagnose, and resolve tickets within SLA. Update AIO Ticket status accurately. Tag and issue new assets. Perform routine preventive maintenance.</w:t>
            </w:r>
          </w:p>
        </w:tc>
      </w:tr>
      <w:tr>
        <w:tc>
          <w:tcPr>
            <w:tcW w:type="pct" w:w="25%"/>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End User</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Log tickets accurately via the AIO system. Provide necessary screenshots or error codes. Take reasonable care of assigned ICT assets.</w:t>
            </w:r>
          </w:p>
        </w:tc>
      </w:tr>
    </w:tbl>
    <w:p>
      <w:pPr>
        <w:pStyle w:val="Heading3"/>
        <w:spacing w:after="80" w:before="180"/>
      </w:pPr>
      <w:r>
        <w:rPr>
          <w:rFonts w:ascii="Calibri" w:cs="Calibri" w:eastAsia="Calibri" w:hAnsi="Calibri"/>
          <w:b/>
          <w:bCs/>
          <w:color w:val="334155"/>
          <w:sz w:val="20"/>
          <w:szCs w:val="20"/>
        </w:rPr>
        <w:t xml:space="preserve">3.3 IT Helpdesk &amp; Ticketing Workflow</w:t>
      </w:r>
    </w:p>
    <w:p>
      <w:pPr>
        <w:spacing w:after="60" w:before="60"/>
      </w:pPr>
      <w:r>
        <w:rPr>
          <w:rFonts w:ascii="Calibri" w:cs="Calibri" w:eastAsia="Calibri" w:hAnsi="Calibri"/>
          <w:b w:val="false"/>
          <w:bCs w:val="false"/>
          <w:sz w:val="19"/>
          <w:szCs w:val="19"/>
        </w:rPr>
        <w:t xml:space="preserve">All IT-related issues must be logged centrally via the AIO Ticketing Module. Verbal or WhatsApp requests are strictly prohibited for audit traceability.</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tcW w:type="pct" w:w="1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Step</w:t>
            </w:r>
          </w:p>
        </w:tc>
        <w:tc>
          <w:tcPr>
            <w:tcW w:type="pct" w:w="5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Process Description</w:t>
            </w:r>
          </w:p>
        </w:tc>
        <w:tc>
          <w:tcPr>
            <w:tcW w:type="pct" w:w="1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PIC</w:t>
            </w:r>
          </w:p>
        </w:tc>
        <w:tc>
          <w:tcPr>
            <w:tcW w:type="pct" w:w="2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Audit Evidence</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3.3.1</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Ticket Logging: User accesses AIO (/tickets) and submits a detailed request. System auto-generates a unique reference (e.g., BO2-IT-1024).</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User</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Ticket Record</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3.3.2</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Triage &amp; Categorization: IT Technician reviews the ticket and categorizes it (Hardware, Software, Network, Access, ERP).</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Category Field Updated</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3.3.3</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SLA Assignment: System calculates SLA based on priority (Urgent: 2h, High: 4h, Medium: 24h, Low: 48h). ITT can adjust priority with justification.</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SLA Target Timestamp</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3.3.4</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Diagnosis &amp; Work in Progress: Ticket status changes to IN PROGRESS. ITT records findings, actions taken, and communications in Internal Notes.</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Internal Work Notes</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3.3.5</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Escalation (If Required): If unresolved within 50% of SLA time, ticket escalates to Level 2 support or IT Manager.</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ITT/ITM</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Escalation Log</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3.3.6</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Resolution &amp; Root Cause Analysis: Upon fixing the issue, ITT documents the Root Cause, Solution applied, and any Parts Cost incurred.</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Resolution &amp; Cost Log</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3.3.7</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Closure: Ticket is marked RESOLVED. AIO system automatically triggers a notification to the user.</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RESOLVED Status</w:t>
            </w:r>
          </w:p>
        </w:tc>
      </w:tr>
    </w:tbl>
    <w:p>
      <w:pPr>
        <w:pStyle w:val="Heading3"/>
        <w:spacing w:after="80" w:before="180"/>
      </w:pPr>
      <w:r>
        <w:rPr>
          <w:rFonts w:ascii="Calibri" w:cs="Calibri" w:eastAsia="Calibri" w:hAnsi="Calibri"/>
          <w:b/>
          <w:bCs/>
          <w:color w:val="334155"/>
          <w:sz w:val="20"/>
          <w:szCs w:val="20"/>
        </w:rPr>
        <w:t xml:space="preserve">3.4 ICT Asset Lifecycle Management</w:t>
      </w:r>
    </w:p>
    <w:p>
      <w:pPr>
        <w:spacing w:after="60" w:before="60"/>
      </w:pPr>
      <w:r>
        <w:rPr>
          <w:rFonts w:ascii="Calibri" w:cs="Calibri" w:eastAsia="Calibri" w:hAnsi="Calibri"/>
          <w:b w:val="false"/>
          <w:bCs w:val="false"/>
          <w:sz w:val="19"/>
          <w:szCs w:val="19"/>
        </w:rPr>
        <w:t xml:space="preserve">Physical assets represent significant company investment and contain proprietary data. Their lifecycle must be meticulously documented in the AIO Asset Management Module (/dashboard/assets).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tcW w:type="pct" w:w="1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Step</w:t>
            </w:r>
          </w:p>
        </w:tc>
        <w:tc>
          <w:tcPr>
            <w:tcW w:type="pct" w:w="5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Action Description</w:t>
            </w:r>
          </w:p>
        </w:tc>
        <w:tc>
          <w:tcPr>
            <w:tcW w:type="pct" w:w="1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PIC</w:t>
            </w:r>
          </w:p>
        </w:tc>
        <w:tc>
          <w:tcPr>
            <w:tcW w:type="pct" w:w="2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Audit Evidence</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3.4.1</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Procurement &amp; Receiving: Upon delivery, IT verifies specs against Purchase Order. Serial number, MAC address, brand, and warranty period are logged.</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Asset Record</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3.4.2</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Asset Tagging: AIO generates a unique tag (e.g., BO2-IT-LT045). A thermal QR sticker is printed and permanently affixed to the hardware.</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Physical QR Sticker</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3.4.3</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Issuance &amp; Handover: Asset is assigned to a specific user or department in AIO. User acknowledges receipt digitally or via physical Handover Form.</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ITT/User</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Assignment Log / Form</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3.4.4</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Preventive Maintenance: Scheduled cleaning, OS patching, and antivirus verifications are performed and logged.</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Maintenance Log</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3.4.5</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Corrective Repair: If broken, repair costs (internal or vendor) are logged against the asset to track Total Cost of Ownership (TCO).</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Maintenance Cost Entry</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3.4.6</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Audit &amp; Verification: Annual physical audit conducted via webcam QR scanner to ensure asset physical presence matches database.</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ITM</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Annual Audit Report</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3.4.7</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Condemnation &amp; Disposal: Obsolete/broken assets are retired. Hard drives MUST be sanitized (wiped or physically destroyed) prior to disposal.</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ITM</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Disposal Certificate</w:t>
            </w:r>
          </w:p>
        </w:tc>
      </w:tr>
    </w:tbl>
    <w:p>
      <w:pPr>
        <w:pStyle w:val="Heading2"/>
        <w:spacing w:after="120" w:before="280"/>
      </w:pPr>
      <w:r>
        <w:rPr>
          <w:rFonts w:ascii="Calibri" w:cs="Calibri" w:eastAsia="Calibri" w:hAnsi="Calibri"/>
          <w:b/>
          <w:bCs/>
          <w:color w:val="1E293B"/>
          <w:sz w:val="22"/>
          <w:szCs w:val="22"/>
        </w:rPr>
        <w:t xml:space="preserve">4.0 KPI AND MONITORING</w:t>
      </w:r>
    </w:p>
    <w:p>
      <w:pPr>
        <w:spacing w:after="60" w:before="60"/>
      </w:pPr>
      <w:r>
        <w:rPr>
          <w:rFonts w:ascii="Calibri" w:cs="Calibri" w:eastAsia="Calibri" w:hAnsi="Calibri"/>
          <w:b w:val="false"/>
          <w:bCs w:val="false"/>
          <w:sz w:val="19"/>
          <w:szCs w:val="19"/>
        </w:rPr>
        <w:t xml:space="preserve">The IT Department is evaluated based on the following metrics, reviewed monthly during Management Meetings:</w:t>
      </w:r>
    </w:p>
    <w:p>
      <w:pPr>
        <w:pStyle w:val="ListParagraph"/>
        <w:numPr>
          <w:ilvl w:val="0"/>
          <w:numId w:val="1"/>
        </w:numPr>
        <w:spacing w:after="40" w:before="40"/>
      </w:pPr>
      <w:r>
        <w:rPr>
          <w:rFonts w:ascii="Calibri" w:cs="Calibri" w:eastAsia="Calibri" w:hAnsi="Calibri"/>
          <w:sz w:val="19"/>
          <w:szCs w:val="19"/>
        </w:rPr>
        <w:t xml:space="preserve">SLA Compliance Rate: Minimum 90% of all tickets must be resolved within the stipulated SLA timeframe.</w:t>
      </w:r>
    </w:p>
    <w:p>
      <w:pPr>
        <w:pStyle w:val="ListParagraph"/>
        <w:numPr>
          <w:ilvl w:val="0"/>
          <w:numId w:val="1"/>
        </w:numPr>
        <w:spacing w:after="40" w:before="40"/>
      </w:pPr>
      <w:r>
        <w:rPr>
          <w:rFonts w:ascii="Calibri" w:cs="Calibri" w:eastAsia="Calibri" w:hAnsi="Calibri"/>
          <w:sz w:val="19"/>
          <w:szCs w:val="19"/>
        </w:rPr>
        <w:t xml:space="preserve">First Contact Resolution (FCR): Target 60% of tickets resolved during the initial interaction without escalation.</w:t>
      </w:r>
    </w:p>
    <w:p>
      <w:pPr>
        <w:pStyle w:val="ListParagraph"/>
        <w:numPr>
          <w:ilvl w:val="0"/>
          <w:numId w:val="1"/>
        </w:numPr>
        <w:spacing w:after="40" w:before="40"/>
      </w:pPr>
      <w:r>
        <w:rPr>
          <w:rFonts w:ascii="Calibri" w:cs="Calibri" w:eastAsia="Calibri" w:hAnsi="Calibri"/>
          <w:sz w:val="19"/>
          <w:szCs w:val="19"/>
        </w:rPr>
        <w:t xml:space="preserve">Asset Audit Accuracy: Annual physical count must reflect greater than 98% alignment with the AIO database.</w:t>
      </w:r>
    </w:p>
    <w:p>
      <w:pPr>
        <w:pStyle w:val="Heading2"/>
        <w:spacing w:after="120" w:before="280"/>
      </w:pPr>
      <w:r>
        <w:rPr>
          <w:rFonts w:ascii="Calibri" w:cs="Calibri" w:eastAsia="Calibri" w:hAnsi="Calibri"/>
          <w:b/>
          <w:bCs/>
          <w:color w:val="1E293B"/>
          <w:sz w:val="22"/>
          <w:szCs w:val="22"/>
        </w:rPr>
        <w:t xml:space="preserve">5.0 RECORDS AND RETENTION</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tcW w:type="pct" w:w="3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Record Name</w:t>
            </w:r>
          </w:p>
        </w:tc>
        <w:tc>
          <w:tcPr>
            <w:tcW w:type="pct" w:w="3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Storage Location</w:t>
            </w:r>
          </w:p>
        </w:tc>
        <w:tc>
          <w:tcPr>
            <w:tcW w:type="pct" w:w="3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Retention Period</w:t>
            </w:r>
          </w:p>
        </w:tc>
      </w:tr>
      <w:tr>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IT Support Tickets</w:t>
            </w:r>
          </w:p>
        </w:tc>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Database (Cloud)</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7 Years</w:t>
            </w:r>
          </w:p>
        </w:tc>
      </w:tr>
      <w:tr>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Asset Procurement &amp; Receiving DO</w:t>
            </w:r>
          </w:p>
        </w:tc>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Finance / IT Filing</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7 Years</w:t>
            </w:r>
          </w:p>
        </w:tc>
      </w:tr>
      <w:tr>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Asset Assignment / Handover Logs</w:t>
            </w:r>
          </w:p>
        </w:tc>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Database (Cloud)</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Life of Asset + 3 Years</w:t>
            </w:r>
          </w:p>
        </w:tc>
      </w:tr>
      <w:tr>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Asset Maintenance &amp; Repair Logs</w:t>
            </w:r>
          </w:p>
        </w:tc>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Database (Cloud)</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Life of Asset + 3 Years</w:t>
            </w:r>
          </w:p>
        </w:tc>
      </w:tr>
      <w:tr>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Hardware Sanitization &amp; Disposal Certificates</w:t>
            </w:r>
          </w:p>
        </w:tc>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 Secure Filing (Digital/Physical)</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7 Years</w:t>
            </w:r>
          </w:p>
        </w:tc>
      </w:tr>
    </w:tbl>
    <w:p>
      <w:pPr>
        <w:pStyle w:val="Heading2"/>
        <w:spacing w:after="120" w:before="280"/>
      </w:pPr>
      <w:r>
        <w:rPr>
          <w:rFonts w:ascii="Calibri" w:cs="Calibri" w:eastAsia="Calibri" w:hAnsi="Calibri"/>
          <w:b/>
          <w:bCs/>
          <w:color w:val="1E293B"/>
          <w:sz w:val="22"/>
          <w:szCs w:val="22"/>
        </w:rPr>
        <w:t xml:space="preserve">6.0 REFERENCES</w:t>
      </w:r>
    </w:p>
    <w:p>
      <w:pPr>
        <w:pStyle w:val="ListParagraph"/>
        <w:numPr>
          <w:ilvl w:val="0"/>
          <w:numId w:val="1"/>
        </w:numPr>
        <w:spacing w:after="40" w:before="40"/>
      </w:pPr>
      <w:r>
        <w:rPr>
          <w:rFonts w:ascii="Calibri" w:cs="Calibri" w:eastAsia="Calibri" w:hAnsi="Calibri"/>
          <w:sz w:val="19"/>
          <w:szCs w:val="19"/>
        </w:rPr>
        <w:t xml:space="preserve">MS ISO 9001:2015 Clause 7.1.3 (Infrastructure), 8.1 (Operational Planning), 9.1 (Monitoring, Measurement, Analysis and Evaluation)</w:t>
      </w:r>
    </w:p>
    <w:p>
      <w:pPr>
        <w:pStyle w:val="ListParagraph"/>
        <w:numPr>
          <w:ilvl w:val="0"/>
          <w:numId w:val="1"/>
        </w:numPr>
        <w:spacing w:after="40" w:before="40"/>
      </w:pPr>
      <w:r>
        <w:rPr>
          <w:rFonts w:ascii="Calibri" w:cs="Calibri" w:eastAsia="Calibri" w:hAnsi="Calibri"/>
          <w:sz w:val="19"/>
          <w:szCs w:val="19"/>
        </w:rPr>
        <w:t xml:space="preserve">ISO/IEC 27001:2022 Controls A.5.24 (IT Incident Management), A.5.9 (Inventory of Information and Other Associated Assets), A.8.14 (Redundant Information Processing Facilities)</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c>
        <w:tcPr>
          <w:tcW w:type="pct" w:w="30%"/>
          <w:tcBorders>
            <w:top w:val="single" w:color="94A3B8" w:sz="4"/>
            <w:left w:val="single" w:color="94A3B8" w:sz="4"/>
            <w:bottom w:val="single" w:color="94A3B8" w:sz="4"/>
            <w:right w:val="single" w:color="94A3B8" w:sz="4"/>
          </w:tcBorders>
          <w:shd w:fill="F8FAFC" w:val="clear"/>
        </w:tcPr>
        <w:p>
          <w:r>
            <w:rPr>
              <w:rFonts w:ascii="Calibri" w:cs="Calibri" w:eastAsia="Calibri" w:hAnsi="Calibri"/>
              <w:b/>
              <w:bCs/>
              <w:sz w:val="18"/>
              <w:szCs w:val="18"/>
            </w:rPr>
            <w:t xml:space="preserve">BUBBLES O2 SDN. BHD.</w:t>
          </w:r>
        </w:p>
        <w:p>
          <w:r>
            <w:rPr>
              <w:rFonts w:ascii="Calibri" w:cs="Calibri" w:eastAsia="Calibri" w:hAnsi="Calibri"/>
              <w:color w:val="64748B"/>
              <w:sz w:val="15"/>
              <w:szCs w:val="15"/>
            </w:rPr>
            <w:t xml:space="preserve">Co. No. 1184139-H</w:t>
          </w:r>
        </w:p>
      </w:tc>
      <w:tc>
        <w:tcPr>
          <w:tcW w:type="pct" w:w="45%"/>
          <w:tcBorders>
            <w:top w:val="single" w:color="94A3B8" w:sz="4"/>
            <w:left w:val="single" w:color="94A3B8" w:sz="4"/>
            <w:bottom w:val="single" w:color="94A3B8" w:sz="4"/>
            <w:right w:val="single" w:color="94A3B8" w:sz="4"/>
          </w:tcBorders>
        </w:tcPr>
        <w:p>
          <w:pPr>
            <w:jc w:val="center"/>
          </w:pPr>
          <w:r>
            <w:rPr>
              <w:rFonts w:ascii="Calibri" w:cs="Calibri" w:eastAsia="Calibri" w:hAnsi="Calibri"/>
              <w:b/>
              <w:bCs/>
              <w:sz w:val="18"/>
              <w:szCs w:val="18"/>
            </w:rPr>
            <w:t xml:space="preserve">AIO SYSTEM OPERATIONS AND ASSET MANAGEMENT SOP</w:t>
          </w:r>
        </w:p>
        <w:p>
          <w:pPr>
            <w:jc w:val="center"/>
          </w:pPr>
          <w:r>
            <w:rPr>
              <w:rFonts w:ascii="Calibri" w:cs="Calibri" w:eastAsia="Calibri" w:hAnsi="Calibri"/>
              <w:color w:val="475569"/>
              <w:sz w:val="16"/>
              <w:szCs w:val="16"/>
            </w:rPr>
            <w:t xml:space="preserve">IT Department | Level II Standard Operating Procedure</w:t>
          </w:r>
        </w:p>
      </w:tc>
      <w:tc>
        <w:tcPr>
          <w:tcW w:type="pct" w:w="25%"/>
          <w:tcBorders>
            <w:top w:val="single" w:color="94A3B8" w:sz="4"/>
            <w:left w:val="single" w:color="94A3B8" w:sz="4"/>
            <w:bottom w:val="single" w:color="94A3B8" w:sz="4"/>
            <w:right w:val="single" w:color="94A3B8" w:sz="4"/>
          </w:tcBorders>
          <w:shd w:fill="F8FAFC" w:val="clear"/>
        </w:tcPr>
        <w:p>
          <w:r>
            <w:rPr>
              <w:rFonts w:ascii="Calibri" w:cs="Calibri" w:eastAsia="Calibri" w:hAnsi="Calibri"/>
              <w:b/>
              <w:bCs/>
              <w:sz w:val="15"/>
              <w:szCs w:val="15"/>
            </w:rPr>
            <w:t xml:space="preserve">Doc No: </w:t>
          </w:r>
          <w:r>
            <w:rPr>
              <w:rFonts w:ascii="Calibri" w:cs="Calibri" w:eastAsia="Calibri" w:hAnsi="Calibri"/>
              <w:sz w:val="15"/>
              <w:szCs w:val="15"/>
            </w:rPr>
            <w:t xml:space="preserve">ITD-AIO-001-SOP</w:t>
          </w:r>
        </w:p>
        <w:p>
          <w:r>
            <w:rPr>
              <w:rFonts w:ascii="Calibri" w:cs="Calibri" w:eastAsia="Calibri" w:hAnsi="Calibri"/>
              <w:sz w:val="15"/>
              <w:szCs w:val="15"/>
            </w:rPr>
            <w:t xml:space="preserve">Rev: 2 | Date: 28/08/2026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2026-08-28T07:28:34.921Z</dcterms:created>
  <dcterms:modified xsi:type="dcterms:W3CDTF">2026-08-28T07:28:34.921Z</dcterms:modified>
</cp:coreProperties>
</file>

<file path=docProps/custom.xml><?xml version="1.0" encoding="utf-8"?>
<Properties xmlns="http://schemas.openxmlformats.org/officeDocument/2006/custom-properties" xmlns:vt="http://schemas.openxmlformats.org/officeDocument/2006/docPropsVTypes"/>
</file>