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AIO SYSTEM SECURITY, BACKUP &amp; GOVERNANCE PROCEDURE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BUBBLES O2 SDN. BHD.</w:t>
      </w:r>
    </w:p>
    <w:p>
      <w:pPr>
        <w:jc w:val="center"/>
      </w:pPr>
      <w:r>
        <w:rPr>
          <w:rFonts w:ascii="Calibri" w:cs="Calibri" w:eastAsia="Calibri" w:hAnsi="Calibri"/>
          <w:color w:val="475569"/>
          <w:sz w:val="18"/>
          <w:szCs w:val="18"/>
        </w:rPr>
        <w:t xml:space="preserve">Lot 4494, 4495, 4498, 4499, Kawasan Perindustrian Halal MIEL, Kampung Merbau Sembilan, 71400 Pedas, Negeri Sembilan</w:t>
      </w:r>
    </w:p>
    <w:p>
      <w:pPr>
        <w:spacing w:after="200"/>
      </w:pP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By</w:t>
            </w:r>
          </w:p>
        </w:tc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Review</w:t>
            </w:r>
          </w:p>
        </w:tc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</w:t>
            </w:r>
          </w:p>
        </w:tc>
      </w:tr>
      <w:tr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28/08/2026</w:t>
            </w:r>
          </w:p>
        </w:tc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Consolidated Security &amp; Governance SOP (MS ISO 9001:2015 &amp; ISO/IEC 27001:2022)</w:t>
            </w:r>
          </w:p>
        </w:tc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ITD</w:t>
            </w:r>
          </w:p>
        </w:tc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MR</w:t>
            </w:r>
          </w:p>
        </w:tc>
        <w:tc>
          <w:tcPr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MGR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1.0 OBJECTIVE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To establish strict security controls, backup mechanisms, access management, and change control procedures for the BubblesO2 All-in-One (AIO) System to ensure data integrity, availability, and confidentiality.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2.0 SCOPE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This procedure applies to all users accessing the AIO system, database administrators, and IT personnel handling codebase deployments, backups, and user permissions.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3.0 PROCEDURE / WORK INSTRUCTION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3.1 User Access Control &amp; Security Management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Access control follows strict Role-Based Access Control (RBAC) principles.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pct" w:w="5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Procedure Description</w:t>
            </w:r>
          </w:p>
        </w:tc>
        <w:tc>
          <w:tcPr>
            <w:tcW w:type="pct" w:w="1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PIC</w:t>
            </w:r>
          </w:p>
        </w:tc>
        <w:tc>
          <w:tcPr>
            <w:tcW w:type="pct" w:w="2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Audit Evidence</w:t>
            </w:r>
          </w:p>
        </w:tc>
      </w:tr>
      <w:tr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3.1.1</w:t>
            </w:r>
          </w:p>
        </w:tc>
        <w:tc>
          <w:tcPr>
            <w:tcW w:type="pct" w:w="5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HOD submits approved User Access Request specifying module permissions.</w:t>
            </w:r>
          </w:p>
        </w:tc>
        <w:tc>
          <w:tcPr>
            <w:tcW w:type="pct" w:w="1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HOD</w:t>
            </w:r>
          </w:p>
        </w:tc>
        <w:tc>
          <w:tcPr>
            <w:tcW w:type="pct" w:w="2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Request Form</w:t>
            </w:r>
          </w:p>
        </w:tc>
      </w:tr>
      <w:tr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3.1.2</w:t>
            </w:r>
          </w:p>
        </w:tc>
        <w:tc>
          <w:tcPr>
            <w:tcW w:type="pct" w:w="5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 provisions account with random password; user prompted to change on login.</w:t>
            </w:r>
          </w:p>
        </w:tc>
        <w:tc>
          <w:tcPr>
            <w:tcW w:type="pct" w:w="1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</w:t>
            </w:r>
          </w:p>
        </w:tc>
        <w:tc>
          <w:tcPr>
            <w:tcW w:type="pct" w:w="2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AIO User Record</w:t>
            </w:r>
          </w:p>
        </w:tc>
      </w:tr>
      <w:tr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3.1.3</w:t>
            </w:r>
          </w:p>
        </w:tc>
        <w:tc>
          <w:tcPr>
            <w:tcW w:type="pct" w:w="5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AIO System enforces bcrypt encryption and 2000ms brute-force delay.</w:t>
            </w:r>
          </w:p>
        </w:tc>
        <w:tc>
          <w:tcPr>
            <w:tcW w:type="pct" w:w="1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AIO</w:t>
            </w:r>
          </w:p>
        </w:tc>
        <w:tc>
          <w:tcPr>
            <w:tcW w:type="pct" w:w="2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Configuration</w:t>
            </w:r>
          </w:p>
        </w:tc>
      </w:tr>
      <w:tr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3.1.4</w:t>
            </w:r>
          </w:p>
        </w:tc>
        <w:tc>
          <w:tcPr>
            <w:tcW w:type="pct" w:w="5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Upon termination, account deactivated within 4 hours; Quarterly audits performed.</w:t>
            </w:r>
          </w:p>
        </w:tc>
        <w:tc>
          <w:tcPr>
            <w:tcW w:type="pct" w:w="1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</w:t>
            </w:r>
          </w:p>
        </w:tc>
        <w:tc>
          <w:tcPr>
            <w:tcW w:type="pct" w:w="2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/ Deactivation Log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3.2 Database Backup &amp; Disaster Recovery (3-2-1 Rule)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To guarantee business continuity, backups follow the 3-2-1 storage strategy.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pct" w:w="5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Backup &amp; DR Action</w:t>
            </w:r>
          </w:p>
        </w:tc>
        <w:tc>
          <w:tcPr>
            <w:tcW w:type="pct" w:w="1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PIC</w:t>
            </w:r>
          </w:p>
        </w:tc>
        <w:tc>
          <w:tcPr>
            <w:tcW w:type="pct" w:w="2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Audit Evidence</w:t>
            </w:r>
          </w:p>
        </w:tc>
      </w:tr>
      <w:tr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3.2.1</w:t>
            </w:r>
          </w:p>
        </w:tc>
        <w:tc>
          <w:tcPr>
            <w:tcW w:type="pct" w:w="5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Automated GitHub Actions cron executes daily pg_dump at 02:00 MYT.</w:t>
            </w:r>
          </w:p>
        </w:tc>
        <w:tc>
          <w:tcPr>
            <w:tcW w:type="pct" w:w="1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AIO</w:t>
            </w:r>
          </w:p>
        </w:tc>
        <w:tc>
          <w:tcPr>
            <w:tcW w:type="pct" w:w="2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Actions Log</w:t>
            </w:r>
          </w:p>
        </w:tc>
      </w:tr>
      <w:tr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3.2.2</w:t>
            </w:r>
          </w:p>
        </w:tc>
        <w:tc>
          <w:tcPr>
            <w:tcW w:type="pct" w:w="5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Backup compressed (.sql.gz) and uploaded to Supabase S3 bucket (30d retention).</w:t>
            </w:r>
          </w:p>
        </w:tc>
        <w:tc>
          <w:tcPr>
            <w:tcW w:type="pct" w:w="1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AIO</w:t>
            </w:r>
          </w:p>
        </w:tc>
        <w:tc>
          <w:tcPr>
            <w:tcW w:type="pct" w:w="2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 Vault Snapshot</w:t>
            </w:r>
          </w:p>
        </w:tc>
      </w:tr>
      <w:tr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3.2.3</w:t>
            </w:r>
          </w:p>
        </w:tc>
        <w:tc>
          <w:tcPr>
            <w:tcW w:type="pct" w:w="5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On-Premise NAS synchronizes snapshot for cold-storage redundancy.</w:t>
            </w:r>
          </w:p>
        </w:tc>
        <w:tc>
          <w:tcPr>
            <w:tcW w:type="pct" w:w="1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</w:t>
            </w:r>
          </w:p>
        </w:tc>
        <w:tc>
          <w:tcPr>
            <w:tcW w:type="pct" w:w="2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NAS Sync Log</w:t>
            </w:r>
          </w:p>
        </w:tc>
      </w:tr>
      <w:tr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3.2.4</w:t>
            </w:r>
          </w:p>
        </w:tc>
        <w:tc>
          <w:tcPr>
            <w:tcW w:type="pct" w:w="5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Semi-annual DR Drill: Restore backup to staging environment within &lt;2 hours RTO.</w:t>
            </w:r>
          </w:p>
        </w:tc>
        <w:tc>
          <w:tcPr>
            <w:tcW w:type="pct" w:w="1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ITM</w:t>
            </w:r>
          </w:p>
        </w:tc>
        <w:tc>
          <w:tcPr>
            <w:tcW w:type="pct" w:w="2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 Drill Report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3.3 System Architecture &amp; Change Management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All code and infrastructure changes undergo formal version control and review.</w:t>
      </w:r>
    </w:p>
    <w:tbl>
      <w:tblPr>
        <w:tblW w:type="pct" w:w="100%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pct" w:w="5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 Control Stage</w:t>
            </w:r>
          </w:p>
        </w:tc>
        <w:tc>
          <w:tcPr>
            <w:tcW w:type="pct" w:w="1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PIC</w:t>
            </w:r>
          </w:p>
        </w:tc>
        <w:tc>
          <w:tcPr>
            <w:tcW w:type="pct" w:w="2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 / Evidence</w:t>
            </w:r>
          </w:p>
        </w:tc>
      </w:tr>
      <w:tr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3.3.1</w:t>
            </w:r>
          </w:p>
        </w:tc>
        <w:tc>
          <w:tcPr>
            <w:tcW w:type="pct" w:w="5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Feature requested via AIO Ticket; assigned to Developer.</w:t>
            </w:r>
          </w:p>
        </w:tc>
        <w:tc>
          <w:tcPr>
            <w:tcW w:type="pct" w:w="1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ITM</w:t>
            </w:r>
          </w:p>
        </w:tc>
        <w:tc>
          <w:tcPr>
            <w:tcW w:type="pct" w:w="2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Ticket</w:t>
            </w:r>
          </w:p>
        </w:tc>
      </w:tr>
      <w:tr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3.3.2</w:t>
            </w:r>
          </w:p>
        </w:tc>
        <w:tc>
          <w:tcPr>
            <w:tcW w:type="pct" w:w="5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Developer creates isolated Git branch for the Next.js / Prisma codebase.</w:t>
            </w:r>
          </w:p>
        </w:tc>
        <w:tc>
          <w:tcPr>
            <w:tcW w:type="pct" w:w="1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</w:t>
            </w:r>
          </w:p>
        </w:tc>
        <w:tc>
          <w:tcPr>
            <w:tcW w:type="pct" w:w="2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 Branch Commit</w:t>
            </w:r>
          </w:p>
        </w:tc>
      </w:tr>
      <w:tr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3.3.3</w:t>
            </w:r>
          </w:p>
        </w:tc>
        <w:tc>
          <w:tcPr>
            <w:tcW w:type="pct" w:w="5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Pull Request opened; requires minimum 1 peer review approval to merge.</w:t>
            </w:r>
          </w:p>
        </w:tc>
        <w:tc>
          <w:tcPr>
            <w:tcW w:type="pct" w:w="1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Dev</w:t>
            </w:r>
          </w:p>
        </w:tc>
        <w:tc>
          <w:tcPr>
            <w:tcW w:type="pct" w:w="2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PR Approval</w:t>
            </w:r>
          </w:p>
        </w:tc>
      </w:tr>
      <w:tr>
        <w:tc>
          <w:tcPr>
            <w:tcW w:type="pct" w:w="1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3.3.4</w:t>
            </w:r>
          </w:p>
        </w:tc>
        <w:tc>
          <w:tcPr>
            <w:tcW w:type="pct" w:w="50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Deployed via Vercel/Cloud Run. Instant rollback capability maintained.</w:t>
            </w:r>
          </w:p>
        </w:tc>
        <w:tc>
          <w:tcPr>
            <w:tcW w:type="pct" w:w="1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</w:t>
            </w:r>
          </w:p>
        </w:tc>
        <w:tc>
          <w:tcPr>
            <w:tcW w:type="pct" w:w="25%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 Log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3.4 Master Audit Log &amp; Register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The system records an immutable Audit Log for all critical operations (User Logins, Settings Changes, Ticket Edits) capturing Timestamp, UserID, Action, and Payload. This trail is retained for 7 years.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4.0 KPI AND MONITORING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Backup Success Rate: 100% daily backup success verified monthly.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DR Restoration Time: &lt;2 hours RTO during semi-annual drills.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5.0 RECORDS AND RETENTION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System Audit Logs: Retained for 7 years in immutable database table.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User Access Request / DR Drill Forms: Retained for 3 years (Digital/Physical).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6.0 REFERENCES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ISO/IEC 27001:2022 Controls A.5.15 (Access control), A.8.13 (Information backup), A.8.15 (Logging), A.8.32 (Change management)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19"/>
          <w:szCs w:val="19"/>
        </w:rPr>
        <w:t xml:space="preserve">MS ISO 9001:2015 Clause 7.5 (Documented Information), 7.1.3 (Infrastructure)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94A3B8" w:sz="4"/>
        <w:left w:val="single" w:color="94A3B8" w:sz="4"/>
        <w:bottom w:val="single" w:color="94A3B8" w:sz="4"/>
        <w:right w:val="single" w:color="94A3B8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pct" w:w="30%"/>
          <w:tcBorders>
            <w:top w:val="single" w:color="94A3B8" w:sz="4"/>
            <w:left w:val="single" w:color="94A3B8" w:sz="4"/>
            <w:bottom w:val="single" w:color="94A3B8" w:sz="4"/>
            <w:right w:val="single" w:color="94A3B8" w:sz="4"/>
          </w:tcBorders>
          <w:shd w:fill="F8FAFC" w:val="clear"/>
        </w:tcPr>
        <w:p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BUBBLES O2 SDN. BHD.</w:t>
          </w:r>
        </w:p>
        <w:p>
          <w:r>
            <w:rPr>
              <w:rFonts w:ascii="Calibri" w:cs="Calibri" w:eastAsia="Calibri" w:hAnsi="Calibri"/>
              <w:color w:val="64748B"/>
              <w:sz w:val="15"/>
              <w:szCs w:val="15"/>
            </w:rPr>
            <w:t xml:space="preserve">Co. No. 1184139-H</w:t>
          </w:r>
        </w:p>
      </w:tc>
      <w:tc>
        <w:tcPr>
          <w:tcW w:type="pct" w:w="45%"/>
          <w:tcBorders>
            <w:top w:val="single" w:color="94A3B8" w:sz="4"/>
            <w:left w:val="single" w:color="94A3B8" w:sz="4"/>
            <w:bottom w:val="single" w:color="94A3B8" w:sz="4"/>
            <w:right w:val="single" w:color="94A3B8" w:sz="4"/>
          </w:tcBorders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AIO SYSTEM SECURITY, BACKUP &amp; GOVERNANCE SOP</w:t>
          </w:r>
        </w:p>
        <w:p>
          <w:pPr>
            <w:jc w:val="center"/>
          </w:pPr>
          <w:r>
            <w:rPr>
              <w:rFonts w:ascii="Calibri" w:cs="Calibri" w:eastAsia="Calibri" w:hAnsi="Calibri"/>
              <w:color w:val="475569"/>
              <w:sz w:val="16"/>
              <w:szCs w:val="16"/>
            </w:rPr>
            <w:t xml:space="preserve">IT Department | Level II Standard Operating Procedure</w:t>
          </w:r>
        </w:p>
      </w:tc>
      <w:tc>
        <w:tcPr>
          <w:tcW w:type="pct" w:w="25%"/>
          <w:tcBorders>
            <w:top w:val="single" w:color="94A3B8" w:sz="4"/>
            <w:left w:val="single" w:color="94A3B8" w:sz="4"/>
            <w:bottom w:val="single" w:color="94A3B8" w:sz="4"/>
            <w:right w:val="single" w:color="94A3B8" w:sz="4"/>
          </w:tcBorders>
          <w:shd w:fill="F8FAFC" w:val="clear"/>
        </w:tcPr>
        <w:p>
          <w:r>
            <w:rPr>
              <w:rFonts w:ascii="Calibri" w:cs="Calibri" w:eastAsia="Calibri" w:hAnsi="Calibri"/>
              <w:b/>
              <w:bCs/>
              <w:sz w:val="15"/>
              <w:szCs w:val="15"/>
            </w:rPr>
            <w:t xml:space="preserve">Doc No: </w:t>
          </w:r>
          <w:r>
            <w:rPr>
              <w:rFonts w:ascii="Calibri" w:cs="Calibri" w:eastAsia="Calibri" w:hAnsi="Calibri"/>
              <w:sz w:val="15"/>
              <w:szCs w:val="15"/>
            </w:rPr>
            <w:t xml:space="preserve">ITD-AIO-002-SOP</w:t>
          </w:r>
        </w:p>
        <w:p>
          <w:r>
            <w:rPr>
              <w:rFonts w:ascii="Calibri" w:cs="Calibri" w:eastAsia="Calibri" w:hAnsi="Calibri"/>
              <w:sz w:val="15"/>
              <w:szCs w:val="15"/>
            </w:rPr>
            <w:t xml:space="preserve">Rev: 1 | Date: 28/08/2026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2026-08-28T07:11:18.587Z</dcterms:created>
  <dcterms:modified xsi:type="dcterms:W3CDTF">2026-08-28T07:11:18.587Z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