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0F172A"/>
          <w:sz w:val="28"/>
          <w:szCs w:val="28"/>
        </w:rPr>
        <w:t xml:space="preserve">AIO SYSTEM SECURITY, BACKUP &amp; GOVERNANCE PROCEDURE</w:t>
      </w:r>
    </w:p>
    <w:p>
      <w:pPr>
        <w:jc w:val="center"/>
      </w:pPr>
      <w:r>
        <w:rPr>
          <w:rFonts w:ascii="Calibri" w:cs="Calibri" w:eastAsia="Calibri" w:hAnsi="Calibri"/>
          <w:b/>
          <w:bCs/>
          <w:sz w:val="20"/>
          <w:szCs w:val="20"/>
        </w:rPr>
        <w:t xml:space="preserve">BUBBLES O2 SDN. BHD.</w:t>
      </w:r>
    </w:p>
    <w:p>
      <w:pPr>
        <w:jc w:val="center"/>
      </w:pPr>
      <w:r>
        <w:rPr>
          <w:rFonts w:ascii="Calibri" w:cs="Calibri" w:eastAsia="Calibri" w:hAnsi="Calibri"/>
          <w:color w:val="475569"/>
          <w:sz w:val="18"/>
          <w:szCs w:val="18"/>
        </w:rPr>
        <w:t xml:space="preserve">Lot 4494, 4495, 4498, 4499, Kawasan Perindustrian Halal MIEL, Kampung Merbau Sembilan, 71400 Pedas, Negeri Sembilan</w:t>
      </w:r>
    </w:p>
    <w:p>
      <w:pPr>
        <w:spacing w:after="200"/>
      </w:pP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gridCol w:w="100"/>
        <w:gridCol w:w="100"/>
      </w:tblGrid>
      <w:tr>
        <w:trPr>
          <w:tblHeader/>
        </w:trPr>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Revision</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Date</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Description</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By</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Review</w:t>
            </w:r>
          </w:p>
        </w:tc>
        <w:tc>
          <w:tcPr>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Approve</w:t>
            </w:r>
          </w:p>
        </w:tc>
      </w:tr>
      <w:tr>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1</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24/08/2026</w:t>
            </w:r>
          </w:p>
        </w:tc>
        <w:tc>
          <w:tcPr>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Initial Document creation.</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ITD</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MR</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MGR</w:t>
            </w:r>
          </w:p>
        </w:tc>
      </w:tr>
      <w:tr>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28/08/2026</w:t>
            </w:r>
          </w:p>
        </w:tc>
        <w:tc>
          <w:tcPr>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Revised hosting infrastructure details (Vercel/Supabase). Updated backup storage policy to Google Drive. Expanded ISO 27001 policy details.</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ITD</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MR</w:t>
            </w:r>
          </w:p>
        </w:tc>
        <w:tc>
          <w:tcPr>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MGR</w:t>
            </w:r>
          </w:p>
        </w:tc>
      </w:tr>
    </w:tbl>
    <w:p>
      <w:pPr>
        <w:pStyle w:val="Heading2"/>
        <w:spacing w:after="120" w:before="280"/>
      </w:pPr>
      <w:r>
        <w:rPr>
          <w:rFonts w:ascii="Calibri" w:cs="Calibri" w:eastAsia="Calibri" w:hAnsi="Calibri"/>
          <w:b/>
          <w:bCs/>
          <w:color w:val="1E293B"/>
          <w:sz w:val="22"/>
          <w:szCs w:val="22"/>
        </w:rPr>
        <w:t xml:space="preserve">1.0 OBJECTIVE</w:t>
      </w:r>
    </w:p>
    <w:p>
      <w:pPr>
        <w:spacing w:after="60" w:before="60"/>
      </w:pPr>
      <w:r>
        <w:rPr>
          <w:rFonts w:ascii="Calibri" w:cs="Calibri" w:eastAsia="Calibri" w:hAnsi="Calibri"/>
          <w:b w:val="false"/>
          <w:bCs w:val="false"/>
          <w:sz w:val="19"/>
          <w:szCs w:val="19"/>
        </w:rPr>
        <w:t xml:space="preserve">To establish uncompromising security controls, robust backup mechanisms, strict access management, and structured change control procedures for the BubblesO2 All-in-One (AIO) System. This SOP safeguards the Confidentiality, Integrity, and Availability (CIA triad) of corporate data against unauthorized access, data loss, and operational disruption.</w:t>
      </w:r>
    </w:p>
    <w:p>
      <w:pPr>
        <w:pStyle w:val="Heading2"/>
        <w:spacing w:after="120" w:before="280"/>
      </w:pPr>
      <w:r>
        <w:rPr>
          <w:rFonts w:ascii="Calibri" w:cs="Calibri" w:eastAsia="Calibri" w:hAnsi="Calibri"/>
          <w:b/>
          <w:bCs/>
          <w:color w:val="1E293B"/>
          <w:sz w:val="22"/>
          <w:szCs w:val="22"/>
        </w:rPr>
        <w:t xml:space="preserve">2.0 SCOPE</w:t>
      </w:r>
    </w:p>
    <w:p>
      <w:pPr>
        <w:spacing w:after="60" w:before="60"/>
      </w:pPr>
      <w:r>
        <w:rPr>
          <w:rFonts w:ascii="Calibri" w:cs="Calibri" w:eastAsia="Calibri" w:hAnsi="Calibri"/>
          <w:b w:val="false"/>
          <w:bCs w:val="false"/>
          <w:sz w:val="19"/>
          <w:szCs w:val="19"/>
        </w:rPr>
        <w:t xml:space="preserve">This procedure governs the technical architecture and security administration of the AIO System. It encompasses the cloud hosting environment (Vercel), the database provider (Supabase PostgreSQL), cloud backup storage (Google Drive), codebase management (GitHub), and the internal policies dictating user access provisioning and source code changes.</w:t>
      </w:r>
    </w:p>
    <w:p>
      <w:pPr>
        <w:pStyle w:val="Heading2"/>
        <w:spacing w:after="120" w:before="280"/>
      </w:pPr>
      <w:r>
        <w:rPr>
          <w:rFonts w:ascii="Calibri" w:cs="Calibri" w:eastAsia="Calibri" w:hAnsi="Calibri"/>
          <w:b/>
          <w:bCs/>
          <w:color w:val="1E293B"/>
          <w:sz w:val="22"/>
          <w:szCs w:val="22"/>
        </w:rPr>
        <w:t xml:space="preserve">3.0 PROCEDURE / WORK INSTRUCTION</w:t>
      </w:r>
    </w:p>
    <w:p>
      <w:pPr>
        <w:pStyle w:val="Heading3"/>
        <w:spacing w:after="80" w:before="180"/>
      </w:pPr>
      <w:r>
        <w:rPr>
          <w:rFonts w:ascii="Calibri" w:cs="Calibri" w:eastAsia="Calibri" w:hAnsi="Calibri"/>
          <w:b/>
          <w:bCs/>
          <w:color w:val="334155"/>
          <w:sz w:val="20"/>
          <w:szCs w:val="20"/>
        </w:rPr>
        <w:t xml:space="preserve">3.1 System Architecture &amp; High Availability (HA) Hosting</w:t>
      </w:r>
    </w:p>
    <w:p>
      <w:pPr>
        <w:spacing w:after="60" w:before="60"/>
      </w:pPr>
      <w:r>
        <w:rPr>
          <w:rFonts w:ascii="Calibri" w:cs="Calibri" w:eastAsia="Calibri" w:hAnsi="Calibri"/>
          <w:b w:val="false"/>
          <w:bCs w:val="false"/>
          <w:sz w:val="19"/>
          <w:szCs w:val="19"/>
        </w:rPr>
        <w:t xml:space="preserve">The AIO System leverages a modern, serverless cloud-native architecture designed for 99.99% uptime. It does not rely on local on-premise servers, virtually eliminating the risk of localized hardware shutdown or power failure.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tcW w:type="pct" w:w="2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Component</w:t>
            </w:r>
          </w:p>
        </w:tc>
        <w:tc>
          <w:tcPr>
            <w:tcW w:type="pct" w:w="3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Technology / Provider</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Security &amp; Availability Features</w:t>
            </w:r>
          </w:p>
        </w:tc>
      </w:tr>
      <w:tr>
        <w:tc>
          <w:tcPr>
            <w:tcW w:type="pct" w:w="2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Frontend &amp; API</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Next.js hosted on Vercel</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Serverless Edge Network, automatic scaling, zero-downtime deployments, DDoS protection.</w:t>
            </w:r>
          </w:p>
        </w:tc>
      </w:tr>
      <w:tr>
        <w:tc>
          <w:tcPr>
            <w:tcW w:type="pct" w:w="2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Database</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PostgreSQL hosted on Supabase</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Automated failover, connection pooling, encrypted at rest, isolated VPC.</w:t>
            </w:r>
          </w:p>
        </w:tc>
      </w:tr>
      <w:tr>
        <w:tc>
          <w:tcPr>
            <w:tcW w:type="pct" w:w="2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Data Access / ORM</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Prisma ORM</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Strict type-safe queries preventing SQL Injection. Advisory locking for schema migrations.</w:t>
            </w:r>
          </w:p>
        </w:tc>
      </w:tr>
      <w:tr>
        <w:tc>
          <w:tcPr>
            <w:tcW w:type="pct" w:w="2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File &amp; Backup Storage</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Google Drive (Enterprise)</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High-durability cloud storage replacing legacy NAS for disaster-proof backup archives.</w:t>
            </w:r>
          </w:p>
        </w:tc>
      </w:tr>
    </w:tbl>
    <w:p>
      <w:pPr>
        <w:pStyle w:val="Heading3"/>
        <w:spacing w:after="80" w:before="180"/>
      </w:pPr>
      <w:r>
        <w:rPr>
          <w:rFonts w:ascii="Calibri" w:cs="Calibri" w:eastAsia="Calibri" w:hAnsi="Calibri"/>
          <w:b/>
          <w:bCs/>
          <w:color w:val="334155"/>
          <w:sz w:val="20"/>
          <w:szCs w:val="20"/>
        </w:rPr>
        <w:t xml:space="preserve">3.2 User Access Control &amp; Identity Management</w:t>
      </w:r>
    </w:p>
    <w:p>
      <w:pPr>
        <w:spacing w:after="60" w:before="60"/>
      </w:pPr>
      <w:r>
        <w:rPr>
          <w:rFonts w:ascii="Calibri" w:cs="Calibri" w:eastAsia="Calibri" w:hAnsi="Calibri"/>
          <w:b w:val="false"/>
          <w:bCs w:val="false"/>
          <w:sz w:val="19"/>
          <w:szCs w:val="19"/>
        </w:rPr>
        <w:t xml:space="preserve">Access control strictly follows the Principle of Least Privilege (PoLP) and Role-Based Access Control (RBAC).</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Procedure Description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Audit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3.2.1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Onboarding: HOD submits a User Access Request detailing required modules and role (Superadmin, Supervisor, Staff).</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HOD</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Approved Request Form</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3.2.2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Provisioning: System Administrator creates the account in AIO with a strong, randomized temporary password.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User Record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3.2.3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Authentication Security: NextAuth securely hashes passwords using bcrypt. A mandatory 2000ms synthetic delay is enforced on all login attempts to thwart brute-force attacks.</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System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Source Code Policy</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3.2.4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Session Management: JWT tokens are strictly validated. Inactive sessions expire automatically to prevent unauthorized terminal access.</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System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System Configuration</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3.2.5</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Offboarding: Upon employee resignation or termination, HR notifies IT immediately. Account access is revoked within 4 hours maximum.</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Audit Deactivation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3.2.6</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Access Review: IT conducts a quarterly audit comparing active AIO accounts against the HR employee master list to identify dormant accounts.</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Quarterly Access Report</w:t>
            </w:r>
          </w:p>
        </w:tc>
      </w:tr>
    </w:tbl>
    <w:p>
      <w:pPr>
        <w:pStyle w:val="Heading3"/>
        <w:spacing w:after="80" w:before="180"/>
      </w:pPr>
      <w:r>
        <w:rPr>
          <w:rFonts w:ascii="Calibri" w:cs="Calibri" w:eastAsia="Calibri" w:hAnsi="Calibri"/>
          <w:b/>
          <w:bCs/>
          <w:color w:val="334155"/>
          <w:sz w:val="20"/>
          <w:szCs w:val="20"/>
        </w:rPr>
        <w:t xml:space="preserve">3.3 Database Backup &amp; Data Preservation Policy</w:t>
      </w:r>
    </w:p>
    <w:p>
      <w:pPr>
        <w:spacing w:after="60" w:before="60"/>
      </w:pPr>
      <w:r>
        <w:rPr>
          <w:rFonts w:ascii="Calibri" w:cs="Calibri" w:eastAsia="Calibri" w:hAnsi="Calibri"/>
          <w:b w:val="false"/>
          <w:bCs w:val="false"/>
          <w:sz w:val="19"/>
          <w:szCs w:val="19"/>
        </w:rPr>
        <w:t xml:space="preserve">Because the system is cloud-hosted on Vercel and Supabase, physical hardware failure is mitigated. The backup strategy focuses on protecting against logical data corruption, accidental deletion, and ransomware.</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Backup Execution &amp; Retention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Audit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Automated Execution: A GitHub Actions cron job automatically triggers at 02:00 MYT daily to execute a full database `pg_dump`.</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System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GitHub Actions Log</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Compression &amp; Upload: The SQL dump is compressed (.sql.gz) and securely transferred via API directly to the corporate Google Drive storage bucket.</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System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Google Drive Timestamp</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Retention Policy: Daily snapshots are retained in Google Drive for 30 rolling days. A monthly snapshot is archived separately for 7 years to meet regulatory compliance.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Google Drive Archive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3.3.4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Verification: The System Administrator reviews the Google Drive folder weekly to ensure backup files are generating with appropriate file sizes (preventing empty backups).</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Weekly Checklist</w:t>
            </w:r>
          </w:p>
        </w:tc>
      </w:tr>
    </w:tbl>
    <w:p>
      <w:pPr>
        <w:pStyle w:val="Heading3"/>
        <w:spacing w:after="80" w:before="180"/>
      </w:pPr>
      <w:r>
        <w:rPr>
          <w:rFonts w:ascii="Calibri" w:cs="Calibri" w:eastAsia="Calibri" w:hAnsi="Calibri"/>
          <w:b/>
          <w:bCs/>
          <w:color w:val="334155"/>
          <w:sz w:val="20"/>
          <w:szCs w:val="20"/>
        </w:rPr>
        <w:t xml:space="preserve">3.4 Disaster Recovery (DR) &amp; Incident Response</w:t>
      </w:r>
    </w:p>
    <w:p>
      <w:pPr>
        <w:spacing w:after="60" w:before="60"/>
      </w:pPr>
      <w:r>
        <w:rPr>
          <w:rFonts w:ascii="Calibri" w:cs="Calibri" w:eastAsia="Calibri" w:hAnsi="Calibri"/>
          <w:b w:val="false"/>
          <w:bCs w:val="false"/>
          <w:sz w:val="19"/>
          <w:szCs w:val="19"/>
        </w:rPr>
        <w:t xml:space="preserve">In the event of severe database corruption or a catastrophic data loss event, the DR plan is activated.</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Disaster Recovery Action</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Expected Output / KPI</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Declaration: IT Manager assesses the severity and officially declares a Disaster Recovery protocol.</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Incident Log Opened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Retrieval: The latest verified `.sql.gz` snapshot is downloaded from Google Drive.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Valid file retrieved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Restoration: The database is isolated. The dump is restored via `gunzip` and `psql` to a fresh Supabase database instance.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Restoration within &lt;2 hours</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Sanity Check: Prisma schema is verified. Application connectivity is redirected to the restored database. HODs verify data integrity.</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ITM/HOD</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System Online Confirmed</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3.4.5</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DR Drill: A simulated DR restoration drill is conducted semi-annually on a staging environment to validate RTO (Recovery Time Objective).</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DR Drill Report</w:t>
            </w:r>
          </w:p>
        </w:tc>
      </w:tr>
    </w:tbl>
    <w:p>
      <w:pPr>
        <w:pStyle w:val="Heading3"/>
        <w:spacing w:after="80" w:before="180"/>
      </w:pPr>
      <w:r>
        <w:rPr>
          <w:rFonts w:ascii="Calibri" w:cs="Calibri" w:eastAsia="Calibri" w:hAnsi="Calibri"/>
          <w:b/>
          <w:bCs/>
          <w:color w:val="334155"/>
          <w:sz w:val="20"/>
          <w:szCs w:val="20"/>
        </w:rPr>
        <w:t xml:space="preserve">3.5 Source Code &amp; Change Management</w:t>
      </w:r>
    </w:p>
    <w:p>
      <w:pPr>
        <w:spacing w:after="60" w:before="60"/>
      </w:pPr>
      <w:r>
        <w:rPr>
          <w:rFonts w:ascii="Calibri" w:cs="Calibri" w:eastAsia="Calibri" w:hAnsi="Calibri"/>
          <w:b w:val="false"/>
          <w:bCs w:val="false"/>
          <w:sz w:val="19"/>
          <w:szCs w:val="19"/>
        </w:rPr>
        <w:t xml:space="preserve">All structural modifications to the AIO system undergo strict version control to prevent unauthorized or undocumented system behaviors.</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gridCol w:w="100"/>
      </w:tblGrid>
      <w:tr>
        <w:trPr>
          <w:tblHeader/>
        </w:trPr>
        <w:tc>
          <w:tcPr>
            <w:tcW w:type="pct" w:w="1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Step</w:t>
            </w:r>
          </w:p>
        </w:tc>
        <w:tc>
          <w:tcPr>
            <w:tcW w:type="pct" w:w="5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Change Control Stage</w:t>
            </w:r>
          </w:p>
        </w:tc>
        <w:tc>
          <w:tcPr>
            <w:tcW w:type="pct" w:w="1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PIC</w:t>
            </w:r>
          </w:p>
        </w:tc>
        <w:tc>
          <w:tcPr>
            <w:tcW w:type="pct" w:w="2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Requirement / Evidence</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3.5.1</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Request: Feature enhancements or bug fixes are logged via the IT Ticketing system and assigned to a Developer.</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ITM</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Approved Ticket</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3.5.2</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Development: Code is written in an isolated Git branch (e.g., `feature/module-upgrade`). Direct commits to `main` are strictly locked.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Developer</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Git Branch Commit</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3.5.3</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Review: A Pull Request (PR) is opened. It requires mandatory peer review and approval from a Lead Developer before merging.</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Lead Dev</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GitHub PR Approval</w:t>
            </w:r>
          </w:p>
        </w:tc>
      </w:tr>
      <w:tr>
        <w:tc>
          <w:tcPr>
            <w:tcW w:type="pct" w:w="10%"/>
            <w:tcBorders>
              <w:top w:val="single" w:color="94A3B8" w:sz="4"/>
              <w:left w:val="single" w:color="94A3B8" w:sz="4"/>
              <w:bottom w:val="single" w:color="94A3B8" w:sz="4"/>
              <w:right w:val="single" w:color="94A3B8" w:sz="4"/>
            </w:tcBorders>
          </w:tcPr>
          <w:p>
            <w:pPr>
              <w:jc w:val="center"/>
            </w:pPr>
            <w:r>
              <w:rPr>
                <w:rFonts w:ascii="Calibri" w:cs="Calibri" w:eastAsia="Calibri" w:hAnsi="Calibri"/>
                <w:sz w:val="18"/>
                <w:szCs w:val="18"/>
              </w:rPr>
              <w:t xml:space="preserve">3.5.4</w:t>
            </w:r>
          </w:p>
        </w:tc>
        <w:tc>
          <w:tcPr>
            <w:tcW w:type="pct" w:w="5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Deployment: Upon merging to `main`, Vercel automatically builds and deploys the application. Instant rollback to a previous version is available if a critical defect is found.</w:t>
            </w:r>
          </w:p>
        </w:tc>
        <w:tc>
          <w:tcPr>
            <w:tcW w:type="pct" w:w="1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Vercel CI/CD</w:t>
            </w:r>
          </w:p>
        </w:tc>
        <w:tc>
          <w:tcPr>
            <w:tcW w:type="pct" w:w="2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Deployment Log</w:t>
            </w:r>
          </w:p>
        </w:tc>
      </w:tr>
    </w:tbl>
    <w:p>
      <w:pPr>
        <w:pStyle w:val="Heading3"/>
        <w:spacing w:after="80" w:before="180"/>
      </w:pPr>
      <w:r>
        <w:rPr>
          <w:rFonts w:ascii="Calibri" w:cs="Calibri" w:eastAsia="Calibri" w:hAnsi="Calibri"/>
          <w:b/>
          <w:bCs/>
          <w:color w:val="334155"/>
          <w:sz w:val="20"/>
          <w:szCs w:val="20"/>
        </w:rPr>
        <w:t xml:space="preserve">3.6 Master Audit Trail (System Register)</w:t>
      </w:r>
    </w:p>
    <w:p>
      <w:pPr>
        <w:spacing w:after="60" w:before="60"/>
      </w:pPr>
      <w:r>
        <w:rPr>
          <w:rFonts w:ascii="Calibri" w:cs="Calibri" w:eastAsia="Calibri" w:hAnsi="Calibri"/>
          <w:b w:val="false"/>
          <w:bCs w:val="false"/>
          <w:sz w:val="19"/>
          <w:szCs w:val="19"/>
        </w:rPr>
        <w:t xml:space="preserve">The AIO System enforces an immutable `AuditLog` table within the PostgreSQL database. Every critical action (User Logins, Settings Changes, Ticket Approvals, Record Deletions) is captured automatically with the Timestamp, UserID, Action Name, and Payload Data. This log cannot be altered or deleted by any user, satisfying ISO 27001 requirements for irrefutable audit trails.</w:t>
      </w:r>
    </w:p>
    <w:p>
      <w:pPr>
        <w:pStyle w:val="Heading2"/>
        <w:spacing w:after="120" w:before="280"/>
      </w:pPr>
      <w:r>
        <w:rPr>
          <w:rFonts w:ascii="Calibri" w:cs="Calibri" w:eastAsia="Calibri" w:hAnsi="Calibri"/>
          <w:b/>
          <w:bCs/>
          <w:color w:val="1E293B"/>
          <w:sz w:val="22"/>
          <w:szCs w:val="22"/>
        </w:rPr>
        <w:t xml:space="preserve">4.0 KPI AND MONITORING</w:t>
      </w:r>
    </w:p>
    <w:p>
      <w:pPr>
        <w:pStyle w:val="ListParagraph"/>
        <w:numPr>
          <w:ilvl w:val="0"/>
          <w:numId w:val="1"/>
        </w:numPr>
        <w:spacing w:after="40" w:before="40"/>
      </w:pPr>
      <w:r>
        <w:rPr>
          <w:rFonts w:ascii="Calibri" w:cs="Calibri" w:eastAsia="Calibri" w:hAnsi="Calibri"/>
          <w:sz w:val="19"/>
          <w:szCs w:val="19"/>
        </w:rPr>
        <w:t xml:space="preserve">System Uptime: Target 99.9% availability (monitored via Vercel/Supabase dashboards).</w:t>
      </w:r>
    </w:p>
    <w:p>
      <w:pPr>
        <w:pStyle w:val="ListParagraph"/>
        <w:numPr>
          <w:ilvl w:val="0"/>
          <w:numId w:val="1"/>
        </w:numPr>
        <w:spacing w:after="40" w:before="40"/>
      </w:pPr>
      <w:r>
        <w:rPr>
          <w:rFonts w:ascii="Calibri" w:cs="Calibri" w:eastAsia="Calibri" w:hAnsi="Calibri"/>
          <w:sz w:val="19"/>
          <w:szCs w:val="19"/>
        </w:rPr>
        <w:t xml:space="preserve">Backup Success Rate: 100% daily backup generation to Google Drive, verified monthly.</w:t>
      </w:r>
    </w:p>
    <w:p>
      <w:pPr>
        <w:pStyle w:val="ListParagraph"/>
        <w:numPr>
          <w:ilvl w:val="0"/>
          <w:numId w:val="1"/>
        </w:numPr>
        <w:spacing w:after="40" w:before="40"/>
      </w:pPr>
      <w:r>
        <w:rPr>
          <w:rFonts w:ascii="Calibri" w:cs="Calibri" w:eastAsia="Calibri" w:hAnsi="Calibri"/>
          <w:sz w:val="19"/>
          <w:szCs w:val="19"/>
        </w:rPr>
        <w:t xml:space="preserve">DR Restoration Time (RTO): &lt;2 hours to fully restore the database from Google Drive during semi-annual drills.</w:t>
      </w:r>
    </w:p>
    <w:p>
      <w:pPr>
        <w:pStyle w:val="ListParagraph"/>
        <w:numPr>
          <w:ilvl w:val="0"/>
          <w:numId w:val="1"/>
        </w:numPr>
        <w:spacing w:after="40" w:before="40"/>
      </w:pPr>
      <w:r>
        <w:rPr>
          <w:rFonts w:ascii="Calibri" w:cs="Calibri" w:eastAsia="Calibri" w:hAnsi="Calibri"/>
          <w:sz w:val="19"/>
          <w:szCs w:val="19"/>
        </w:rPr>
        <w:t xml:space="preserve">Unauthorized Access: Zero incidents of unauthorized system access or privilege escalation.</w:t>
      </w:r>
    </w:p>
    <w:p>
      <w:pPr>
        <w:pStyle w:val="Heading2"/>
        <w:spacing w:after="120" w:before="280"/>
      </w:pPr>
      <w:r>
        <w:rPr>
          <w:rFonts w:ascii="Calibri" w:cs="Calibri" w:eastAsia="Calibri" w:hAnsi="Calibri"/>
          <w:b/>
          <w:bCs/>
          <w:color w:val="1E293B"/>
          <w:sz w:val="22"/>
          <w:szCs w:val="22"/>
        </w:rPr>
        <w:t xml:space="preserve">5.0 RECORDS AND RETENTION</w:t>
      </w:r>
    </w:p>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rPr>
          <w:tblHeader/>
        </w:trPr>
        <w:tc>
          <w:tcPr>
            <w:tcW w:type="pct" w:w="3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Record Name</w:t>
            </w:r>
          </w:p>
        </w:tc>
        <w:tc>
          <w:tcPr>
            <w:tcW w:type="pct" w:w="35%"/>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Storage Location</w:t>
            </w:r>
          </w:p>
        </w:tc>
        <w:tc>
          <w:tcPr>
            <w:tcW w:type="pct" w:w="30%"/>
            <w:tcBorders>
              <w:top w:val="single" w:color="94A3B8" w:sz="4"/>
              <w:left w:val="single" w:color="94A3B8" w:sz="4"/>
              <w:bottom w:val="single" w:color="94A3B8" w:sz="4"/>
              <w:right w:val="single" w:color="94A3B8" w:sz="4"/>
            </w:tcBorders>
            <w:shd w:fill="E2E8F0" w:val="clear"/>
          </w:tcPr>
          <w:p>
            <w:pPr>
              <w:jc w:val="center"/>
            </w:pPr>
            <w:r>
              <w:rPr>
                <w:rFonts w:ascii="Calibri" w:cs="Calibri" w:eastAsia="Calibri" w:hAnsi="Calibri"/>
                <w:b/>
                <w:bCs/>
                <w:sz w:val="18"/>
                <w:szCs w:val="18"/>
              </w:rPr>
              <w:t xml:space="preserve">Retention Period</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System Audit Logs (Immutable)</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AIO Database (Cloud)</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7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Database Backups (.sql.gz)</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Google Drive</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30 Days (Daily) / 7 Years (Monthly)</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User Access Request Forms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Department (Digital/Physical)</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3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DR Drill &amp; Restoration Reports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IT Department (Digital/Physical)</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3 Years</w:t>
            </w:r>
          </w:p>
        </w:tc>
      </w:tr>
      <w:tr>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GitHub Pull Request Approvals</w:t>
            </w:r>
          </w:p>
        </w:tc>
        <w:tc>
          <w:tcPr>
            <w:tcW w:type="pct" w:w="35%"/>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GitHub Repository</w:t>
            </w:r>
          </w:p>
        </w:tc>
        <w:tc>
          <w:tcPr>
            <w:tcW w:type="pct" w:w="30%"/>
            <w:tcBorders>
              <w:top w:val="single" w:color="94A3B8" w:sz="4"/>
              <w:left w:val="single" w:color="94A3B8" w:sz="4"/>
              <w:bottom w:val="single" w:color="94A3B8" w:sz="4"/>
              <w:right w:val="single" w:color="94A3B8" w:sz="4"/>
            </w:tcBorders>
          </w:tcPr>
          <w:p>
            <w:pPr>
              <w:jc w:val="left"/>
            </w:pPr>
            <w:r>
              <w:rPr>
                <w:rFonts w:ascii="Calibri" w:cs="Calibri" w:eastAsia="Calibri" w:hAnsi="Calibri"/>
                <w:sz w:val="18"/>
                <w:szCs w:val="18"/>
              </w:rPr>
              <w:t xml:space="preserve">Permanent</w:t>
            </w:r>
          </w:p>
        </w:tc>
      </w:tr>
    </w:tbl>
    <w:p>
      <w:pPr>
        <w:pStyle w:val="Heading2"/>
        <w:spacing w:after="120" w:before="280"/>
      </w:pPr>
      <w:r>
        <w:rPr>
          <w:rFonts w:ascii="Calibri" w:cs="Calibri" w:eastAsia="Calibri" w:hAnsi="Calibri"/>
          <w:b/>
          <w:bCs/>
          <w:color w:val="1E293B"/>
          <w:sz w:val="22"/>
          <w:szCs w:val="22"/>
        </w:rPr>
        <w:t xml:space="preserve">6.0 REFERENCES</w:t>
      </w:r>
    </w:p>
    <w:p>
      <w:pPr>
        <w:pStyle w:val="ListParagraph"/>
        <w:numPr>
          <w:ilvl w:val="0"/>
          <w:numId w:val="1"/>
        </w:numPr>
        <w:spacing w:after="40" w:before="40"/>
      </w:pPr>
      <w:r>
        <w:rPr>
          <w:rFonts w:ascii="Calibri" w:cs="Calibri" w:eastAsia="Calibri" w:hAnsi="Calibri"/>
          <w:sz w:val="19"/>
          <w:szCs w:val="19"/>
        </w:rPr>
        <w:t xml:space="preserve">ISO/IEC 27001:2022 Controls: A.5.15 (Access control), A.8.13 (Information backup), A.8.15 (Logging), A.8.32 (Change management), A.5.29 (Information security during disruption).</w:t>
      </w:r>
    </w:p>
    <w:p>
      <w:pPr>
        <w:pStyle w:val="ListParagraph"/>
        <w:numPr>
          <w:ilvl w:val="0"/>
          <w:numId w:val="1"/>
        </w:numPr>
        <w:spacing w:after="40" w:before="40"/>
      </w:pPr>
      <w:r>
        <w:rPr>
          <w:rFonts w:ascii="Calibri" w:cs="Calibri" w:eastAsia="Calibri" w:hAnsi="Calibri"/>
          <w:sz w:val="19"/>
          <w:szCs w:val="19"/>
        </w:rPr>
        <w:t xml:space="preserve">MS ISO 9001:2015 Clause 7.5 (Documented Information), 7.1.3 (Infrastructure), 8.5.1 (Control of production and service provision).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94A3B8" w:sz="4"/>
        <w:left w:val="single" w:color="94A3B8" w:sz="4"/>
        <w:bottom w:val="single" w:color="94A3B8" w:sz="4"/>
        <w:right w:val="single" w:color="94A3B8" w:sz="4"/>
        <w:insideH w:val="single" w:color="auto" w:sz="4"/>
        <w:insideV w:val="single" w:color="auto" w:sz="4"/>
      </w:tblBorders>
    </w:tblPr>
    <w:tblGrid>
      <w:gridCol w:w="100"/>
      <w:gridCol w:w="100"/>
      <w:gridCol w:w="100"/>
    </w:tblGrid>
    <w:tr>
      <w:tc>
        <w:tcPr>
          <w:tcW w:type="pct" w:w="30%"/>
          <w:tcBorders>
            <w:top w:val="single" w:color="94A3B8" w:sz="4"/>
            <w:left w:val="single" w:color="94A3B8" w:sz="4"/>
            <w:bottom w:val="single" w:color="94A3B8" w:sz="4"/>
            <w:right w:val="single" w:color="94A3B8" w:sz="4"/>
          </w:tcBorders>
          <w:shd w:fill="F8FAFC" w:val="clear"/>
        </w:tcPr>
        <w:p>
          <w:r>
            <w:rPr>
              <w:rFonts w:ascii="Calibri" w:cs="Calibri" w:eastAsia="Calibri" w:hAnsi="Calibri"/>
              <w:b/>
              <w:bCs/>
              <w:sz w:val="18"/>
              <w:szCs w:val="18"/>
            </w:rPr>
            <w:t xml:space="preserve">BUBBLES O2 SDN. BHD.</w:t>
          </w:r>
        </w:p>
        <w:p>
          <w:r>
            <w:rPr>
              <w:rFonts w:ascii="Calibri" w:cs="Calibri" w:eastAsia="Calibri" w:hAnsi="Calibri"/>
              <w:color w:val="64748B"/>
              <w:sz w:val="15"/>
              <w:szCs w:val="15"/>
            </w:rPr>
            <w:t xml:space="preserve">Co. No. 1184139-H</w:t>
          </w:r>
        </w:p>
      </w:tc>
      <w:tc>
        <w:tcPr>
          <w:tcW w:type="pct" w:w="45%"/>
          <w:tcBorders>
            <w:top w:val="single" w:color="94A3B8" w:sz="4"/>
            <w:left w:val="single" w:color="94A3B8" w:sz="4"/>
            <w:bottom w:val="single" w:color="94A3B8" w:sz="4"/>
            <w:right w:val="single" w:color="94A3B8" w:sz="4"/>
          </w:tcBorders>
        </w:tcPr>
        <w:p>
          <w:pPr>
            <w:jc w:val="center"/>
          </w:pPr>
          <w:r>
            <w:rPr>
              <w:rFonts w:ascii="Calibri" w:cs="Calibri" w:eastAsia="Calibri" w:hAnsi="Calibri"/>
              <w:b/>
              <w:bCs/>
              <w:sz w:val="18"/>
              <w:szCs w:val="18"/>
            </w:rPr>
            <w:t xml:space="preserve">AIO SYSTEM SECURITY, BACKUP &amp; GOVERNANCE SOP</w:t>
          </w:r>
        </w:p>
        <w:p>
          <w:pPr>
            <w:jc w:val="center"/>
          </w:pPr>
          <w:r>
            <w:rPr>
              <w:rFonts w:ascii="Calibri" w:cs="Calibri" w:eastAsia="Calibri" w:hAnsi="Calibri"/>
              <w:color w:val="475569"/>
              <w:sz w:val="16"/>
              <w:szCs w:val="16"/>
            </w:rPr>
            <w:t xml:space="preserve">IT Department | Level II Standard Operating Procedure</w:t>
          </w:r>
        </w:p>
      </w:tc>
      <w:tc>
        <w:tcPr>
          <w:tcW w:type="pct" w:w="25%"/>
          <w:tcBorders>
            <w:top w:val="single" w:color="94A3B8" w:sz="4"/>
            <w:left w:val="single" w:color="94A3B8" w:sz="4"/>
            <w:bottom w:val="single" w:color="94A3B8" w:sz="4"/>
            <w:right w:val="single" w:color="94A3B8" w:sz="4"/>
          </w:tcBorders>
          <w:shd w:fill="F8FAFC" w:val="clear"/>
        </w:tcPr>
        <w:p>
          <w:r>
            <w:rPr>
              <w:rFonts w:ascii="Calibri" w:cs="Calibri" w:eastAsia="Calibri" w:hAnsi="Calibri"/>
              <w:b/>
              <w:bCs/>
              <w:sz w:val="15"/>
              <w:szCs w:val="15"/>
            </w:rPr>
            <w:t xml:space="preserve">Doc No: </w:t>
          </w:r>
          <w:r>
            <w:rPr>
              <w:rFonts w:ascii="Calibri" w:cs="Calibri" w:eastAsia="Calibri" w:hAnsi="Calibri"/>
              <w:sz w:val="15"/>
              <w:szCs w:val="15"/>
            </w:rPr>
            <w:t xml:space="preserve">ITD-AIO-002-SOP</w:t>
          </w:r>
        </w:p>
        <w:p>
          <w:r>
            <w:rPr>
              <w:rFonts w:ascii="Calibri" w:cs="Calibri" w:eastAsia="Calibri" w:hAnsi="Calibri"/>
              <w:sz w:val="15"/>
              <w:szCs w:val="15"/>
            </w:rPr>
            <w:t xml:space="preserve">Rev: 2 | Date: 28/08/2026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2026-08-28T07:28:34.980Z</dcterms:created>
  <dcterms:modified xsi:type="dcterms:W3CDTF">2026-08-28T07:28:34.980Z</dcterms:modified>
</cp:coreProperties>
</file>

<file path=docProps/custom.xml><?xml version="1.0" encoding="utf-8"?>
<Properties xmlns="http://schemas.openxmlformats.org/officeDocument/2006/custom-properties" xmlns:vt="http://schemas.openxmlformats.org/officeDocument/2006/docPropsVTypes"/>
</file>