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A5A5A"/>
          <w:sz w:val="20"/>
        </w:rPr>
        <w:t>AIR / ООО «КСИИ»</w:t>
      </w:r>
    </w:p>
    <w:p>
      <w:pPr>
        <w:spacing w:after="40" w:before="0"/>
      </w:pPr>
      <w:r>
        <w:rPr>
          <w:b/>
          <w:color w:val="1A1A1A"/>
          <w:sz w:val="34"/>
        </w:rPr>
        <w:t>Направления для обсуждения — Напитки Вместе</w:t>
      </w:r>
    </w:p>
    <w:p>
      <w:pPr>
        <w:spacing w:after="320" w:before="0"/>
      </w:pPr>
      <w:r>
        <w:rPr>
          <w:b w:val="0"/>
          <w:color w:val="5A5A5A"/>
          <w:sz w:val="20"/>
        </w:rPr>
        <w:t>Дополнение к заявке по тендеру № 4508198. Без цен и обязательств.</w:t>
      </w:r>
    </w:p>
    <w:p>
      <w:pPr>
        <w:spacing w:after="280" w:before="0"/>
      </w:pPr>
      <w:r>
        <w:rPr>
          <w:b w:val="0"/>
          <w:color w:val="1A1A1A"/>
          <w:sz w:val="21"/>
        </w:rPr>
        <w:t>Ниже — четыре направления, которые мы не раскрыли в первой подаче. Каждое подобрано под то, что прямо сказано в вашем тендерном задании и брифе, а не предложено «вообще».</w:t>
      </w:r>
    </w:p>
    <w:p>
      <w:pPr>
        <w:spacing w:after="80" w:before="280"/>
      </w:pPr>
      <w:r>
        <w:rPr>
          <w:b/>
          <w:color w:val="2A2AE6"/>
          <w:sz w:val="26"/>
        </w:rPr>
        <w:t>1. Рассылка пресс-релизов и видео-трансляции с заводов</w:t>
      </w:r>
    </w:p>
    <w:p>
      <w:pPr>
        <w:spacing w:after="120" w:before="0"/>
      </w:pPr>
      <w:r>
        <w:rPr>
          <w:b w:val="0"/>
          <w:color w:val="1A1A1A"/>
          <w:sz w:val="21"/>
        </w:rPr>
        <w:t>В тендерном задании вы привели именно эти два примера желаемой опции. Обе функции у нас уже реализованы и работают в проекте «Атоммедиа» для Росатома: автоматическая рассылка пресс-релизов по подписке и встроенные видео-трансляции мероприятий. После запуска число зарегистрированных пользователей выросло в 7 раз. Это не концепция, а готовое решение — можем перенести на ваш проект.</w:t>
      </w:r>
    </w:p>
    <w:p>
      <w:pPr>
        <w:spacing w:after="80" w:before="280"/>
      </w:pPr>
      <w:r>
        <w:rPr>
          <w:b/>
          <w:color w:val="2A2AE6"/>
          <w:sz w:val="26"/>
        </w:rPr>
        <w:t>2. Риск при приёмке по Core Web Vitals</w:t>
      </w:r>
    </w:p>
    <w:p>
      <w:pPr>
        <w:spacing w:after="120" w:before="0"/>
      </w:pPr>
      <w:r>
        <w:rPr>
          <w:b w:val="0"/>
          <w:color w:val="1A1A1A"/>
          <w:sz w:val="21"/>
        </w:rPr>
        <w:t>В требованиях к графике есть противоречие: верстка не должна поддерживать отдельные версии изображений под разную ширину экрана и под Retina-дисплеи, но при этом сами изображения должны готовиться в двойном размере именно под Retina. В сочетании с пожеланием к 3D-визуалам и качественным фото это создаёт риск не пройти норматив LCP ≤ 2,5 с на приёмке — у любого подрядчика, не только у нас. Готовы предложить формулировку, которая снимает противоречие и сохраняет визуальное качество.</w:t>
      </w:r>
    </w:p>
    <w:p>
      <w:pPr>
        <w:spacing w:after="80" w:before="280"/>
      </w:pPr>
      <w:r>
        <w:rPr>
          <w:b/>
          <w:color w:val="2A2AE6"/>
          <w:sz w:val="26"/>
        </w:rPr>
        <w:t>3. Блок отчётности и дайджестов для СМИ и акционеров</w:t>
      </w:r>
    </w:p>
    <w:p>
      <w:pPr>
        <w:spacing w:after="120" w:before="0"/>
      </w:pPr>
      <w:r>
        <w:rPr>
          <w:b w:val="0"/>
          <w:color w:val="1A1A1A"/>
          <w:sz w:val="21"/>
        </w:rPr>
        <w:t>Цель проекта — коммуникация со всеми группами стейкхолдеров, включая СМИ, акционеров, регуляторов. В дизайн-концепции тендера явного места под это нет, хотя вы сами привели референс — НорНикель с блоком отчётов и дайджестов на главной странице. Готовы обсудить, нужен ли такой блок и в каком объёме.</w:t>
      </w:r>
    </w:p>
    <w:p>
      <w:pPr>
        <w:spacing w:after="80" w:before="280"/>
      </w:pPr>
      <w:r>
        <w:rPr>
          <w:b/>
          <w:color w:val="2A2AE6"/>
          <w:sz w:val="26"/>
        </w:rPr>
        <w:t>4. 3D-визуализация продукта на главной</w:t>
      </w:r>
    </w:p>
    <w:p>
      <w:pPr>
        <w:spacing w:after="120" w:before="0"/>
      </w:pPr>
      <w:r>
        <w:rPr>
          <w:b w:val="0"/>
          <w:color w:val="1A1A1A"/>
          <w:sz w:val="21"/>
        </w:rPr>
        <w:t>В пожеланиях к дизайну вы упомянули AI-элементы и 3D-визуалы, а в референсах — «Логика Молока» с анимацией продукта на главной странице. У нас есть опыт именно с 3D: интерактивный образовательный портал с 3D-сценами и управлением через гироскоп мобильного устройства. Тот же подход применим к анимированной подаче продукта на главной.</w:t>
      </w:r>
    </w:p>
    <w:p>
      <w:pPr>
        <w:spacing w:after="120" w:before="320"/>
      </w:pPr>
      <w:r>
        <w:rPr>
          <w:b w:val="0"/>
          <w:color w:val="5A5A5A"/>
          <w:sz w:val="20"/>
        </w:rPr>
        <w:t>Всё это — направления для разговора, не готовое предложение. Будем рады обсудить, какое из них ближе всего к вашим текущим приоритетам.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