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300" w:after="200"/>
        <w:rPr/>
      </w:pPr>
      <w:r>
        <w:rPr>
          <w:rFonts w:eastAsia="Georgia" w:cs="Georgia" w:ascii="Georgia" w:hAnsi="Georgia"/>
          <w:b/>
          <w:bCs/>
          <w:color w:val="2F5597"/>
          <w:sz w:val="36"/>
          <w:szCs w:val="36"/>
        </w:rPr>
        <w:t>Анализ ИИ-подсказок в Яндексе и предложения по работе над их изменением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32"/>
          <w:szCs w:val="32"/>
        </w:rPr>
        <w:t>1. Вводная информация</w:t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b/>
          <w:bCs/>
          <w:sz w:val="24"/>
          <w:szCs w:val="24"/>
        </w:rPr>
        <w:t>ИИ-подсказки</w:t>
      </w:r>
      <w:r>
        <w:rPr>
          <w:rFonts w:eastAsia="Georgia" w:cs="Georgia"/>
          <w:sz w:val="24"/>
          <w:szCs w:val="24"/>
        </w:rPr>
        <w:t xml:space="preserve"> — это варианты наиболее популярных запросов, которые появляются под поисковой строкой (Умной строкой) Яндекса по мере ввода символов. Они формируются на основе: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Georgia" w:cs="Georgia"/>
          <w:sz w:val="24"/>
          <w:szCs w:val="24"/>
        </w:rPr>
        <w:t>самых частых вариантов поисковых запросов пользователей;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Georgia" w:cs="Georgia"/>
          <w:sz w:val="24"/>
          <w:szCs w:val="24"/>
        </w:rPr>
        <w:t>сайтов, которые пользователь уже посещал.</w:t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 xml:space="preserve">Кроме того, </w:t>
      </w:r>
      <w:r>
        <w:rPr>
          <w:rFonts w:eastAsia="Georgia" w:cs="Georgia"/>
          <w:b/>
          <w:bCs/>
          <w:sz w:val="24"/>
          <w:szCs w:val="24"/>
        </w:rPr>
        <w:t>Яндекс Нейро</w:t>
      </w:r>
      <w:r>
        <w:rPr>
          <w:rFonts w:eastAsia="Georgia" w:cs="Georgia"/>
          <w:sz w:val="24"/>
          <w:szCs w:val="24"/>
        </w:rPr>
        <w:t xml:space="preserve"> (генеративный ИИ-поиск) может давать развёрнутые ответы на сложные запросы, анализируя несколько источников и формируя структурированный ответ.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32"/>
          <w:szCs w:val="32"/>
        </w:rPr>
        <w:t>2. Анализ ИИ-подсказок по запросу «ТЭЦ-9 иркутская область»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2.1. Предполагаемый перечень ИИ-подсказок (по состоянию на июль 2026 года)</w:t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При вводе в поисковую строку Яндекса запроса «ТЭЦ-9 иркутская область» или «ТЭЦ-9 Ангарск» могут появляться следующие подсказки:</w:t>
      </w:r>
    </w:p>
    <w:p>
      <w:pPr>
        <w:pStyle w:val="Normal"/>
        <w:rPr/>
      </w:pPr>
      <w:r>
        <w:rPr/>
      </w:r>
    </w:p>
    <w:p>
      <w:pPr>
        <w:pStyle w:val="Normal"/>
        <w:spacing w:before="200" w:after="200"/>
        <w:rPr/>
      </w:pPr>
      <w:r>
        <w:rPr/>
      </w:r>
    </w:p>
    <w:tbl>
      <w:tblPr>
        <w:tblW w:w="5000" w:type="pct"/>
        <w:jc w:val="center"/>
        <w:tblInd w:w="0" w:type="dxa"/>
        <w:tblBorders>
          <w:top w:val="double" w:sz="2" w:space="0" w:color="1F4E79"/>
          <w:left w:val="single" w:sz="2" w:space="0" w:color="8DB4E2"/>
          <w:bottom w:val="double" w:sz="2" w:space="0" w:color="1F4E79"/>
          <w:right w:val="single" w:sz="2" w:space="0" w:color="8DB4E2"/>
          <w:insideH w:val="double" w:sz="2" w:space="0" w:color="1F4E79"/>
          <w:insideV w:val="single" w:sz="2" w:space="0" w:color="8DB4E2"/>
        </w:tblBorders>
        <w:tblCellMar>
          <w:top w:w="115" w:type="dxa"/>
          <w:left w:w="171" w:type="dxa"/>
          <w:bottom w:w="115" w:type="dxa"/>
          <w:right w:w="172" w:type="dxa"/>
        </w:tblCellMar>
      </w:tblPr>
      <w:tblGrid>
        <w:gridCol w:w="833"/>
        <w:gridCol w:w="4803"/>
        <w:gridCol w:w="1554"/>
        <w:gridCol w:w="1835"/>
      </w:tblGrid>
      <w:tr>
        <w:trPr>
          <w:tblHeader w:val="true"/>
          <w:cantSplit w:val="true"/>
        </w:trPr>
        <w:tc>
          <w:tcPr>
            <w:tcW w:w="833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№</w:t>
            </w:r>
          </w:p>
        </w:tc>
        <w:tc>
          <w:tcPr>
            <w:tcW w:w="4803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Подсказка</w:t>
            </w:r>
          </w:p>
        </w:tc>
        <w:tc>
          <w:tcPr>
            <w:tcW w:w="1554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Тип</w:t>
            </w:r>
          </w:p>
        </w:tc>
        <w:tc>
          <w:tcPr>
            <w:tcW w:w="1835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Уровень риска</w:t>
            </w:r>
          </w:p>
        </w:tc>
      </w:tr>
      <w:tr>
        <w:trPr>
          <w:cantSplit w:val="true"/>
        </w:trPr>
        <w:tc>
          <w:tcPr>
            <w:tcW w:w="833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1</w:t>
            </w:r>
          </w:p>
        </w:tc>
        <w:tc>
          <w:tcPr>
            <w:tcW w:w="4803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«ТЭЦ-9 Иркутская область авария»</w:t>
            </w:r>
          </w:p>
        </w:tc>
        <w:tc>
          <w:tcPr>
            <w:tcW w:w="155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Негативная</w:t>
            </w:r>
          </w:p>
        </w:tc>
        <w:tc>
          <w:tcPr>
            <w:tcW w:w="1835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Высокий</w:t>
            </w:r>
          </w:p>
        </w:tc>
      </w:tr>
      <w:tr>
        <w:trPr>
          <w:cantSplit w:val="true"/>
        </w:trPr>
        <w:tc>
          <w:tcPr>
            <w:tcW w:w="833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2</w:t>
            </w:r>
          </w:p>
        </w:tc>
        <w:tc>
          <w:tcPr>
            <w:tcW w:w="4803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«ТЭЦ-9 Ангарск авария 2025»</w:t>
            </w:r>
          </w:p>
        </w:tc>
        <w:tc>
          <w:tcPr>
            <w:tcW w:w="155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Негативная</w:t>
            </w:r>
          </w:p>
        </w:tc>
        <w:tc>
          <w:tcPr>
            <w:tcW w:w="1835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Высокий</w:t>
            </w:r>
          </w:p>
        </w:tc>
      </w:tr>
      <w:tr>
        <w:trPr>
          <w:cantSplit w:val="true"/>
        </w:trPr>
        <w:tc>
          <w:tcPr>
            <w:tcW w:w="833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3</w:t>
            </w:r>
          </w:p>
        </w:tc>
        <w:tc>
          <w:tcPr>
            <w:tcW w:w="4803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«ТЭЦ-9 Иркутская область новости»</w:t>
            </w:r>
          </w:p>
        </w:tc>
        <w:tc>
          <w:tcPr>
            <w:tcW w:w="155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Нейтральная</w:t>
            </w:r>
          </w:p>
        </w:tc>
        <w:tc>
          <w:tcPr>
            <w:tcW w:w="1835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Низкий</w:t>
            </w:r>
          </w:p>
        </w:tc>
      </w:tr>
      <w:tr>
        <w:trPr>
          <w:cantSplit w:val="true"/>
        </w:trPr>
        <w:tc>
          <w:tcPr>
            <w:tcW w:w="833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4</w:t>
            </w:r>
          </w:p>
        </w:tc>
        <w:tc>
          <w:tcPr>
            <w:tcW w:w="4803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«ТЭЦ-9 Ангарск отопление»</w:t>
            </w:r>
          </w:p>
        </w:tc>
        <w:tc>
          <w:tcPr>
            <w:tcW w:w="155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Нейтральная</w:t>
            </w:r>
          </w:p>
        </w:tc>
        <w:tc>
          <w:tcPr>
            <w:tcW w:w="1835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Низкий</w:t>
            </w:r>
          </w:p>
        </w:tc>
      </w:tr>
      <w:tr>
        <w:trPr>
          <w:cantSplit w:val="true"/>
        </w:trPr>
        <w:tc>
          <w:tcPr>
            <w:tcW w:w="833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5</w:t>
            </w:r>
          </w:p>
        </w:tc>
        <w:tc>
          <w:tcPr>
            <w:tcW w:w="4803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«ТЭЦ-9 Иркутская область мощность»</w:t>
            </w:r>
          </w:p>
        </w:tc>
        <w:tc>
          <w:tcPr>
            <w:tcW w:w="155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Нейтральная</w:t>
            </w:r>
          </w:p>
        </w:tc>
        <w:tc>
          <w:tcPr>
            <w:tcW w:w="1835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Низкий</w:t>
            </w:r>
          </w:p>
        </w:tc>
      </w:tr>
      <w:tr>
        <w:trPr>
          <w:cantSplit w:val="true"/>
        </w:trPr>
        <w:tc>
          <w:tcPr>
            <w:tcW w:w="833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6</w:t>
            </w:r>
          </w:p>
        </w:tc>
        <w:tc>
          <w:tcPr>
            <w:tcW w:w="4803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«ТЭЦ-9 Ангарск температура»</w:t>
            </w:r>
          </w:p>
        </w:tc>
        <w:tc>
          <w:tcPr>
            <w:tcW w:w="1554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Нейтральная</w:t>
            </w:r>
          </w:p>
        </w:tc>
        <w:tc>
          <w:tcPr>
            <w:tcW w:w="1835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Низкий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2.2. Обоснование</w:t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 xml:space="preserve">В поисковой выдаче по запросу «ТЭЦ-9 иркутская область» доминируют материалы, связанные с </w:t>
      </w:r>
      <w:r>
        <w:rPr>
          <w:rFonts w:eastAsia="Georgia" w:cs="Georgia"/>
          <w:b/>
          <w:bCs/>
          <w:sz w:val="24"/>
          <w:szCs w:val="24"/>
        </w:rPr>
        <w:t>крупной аварией в декабре 2025 года</w:t>
      </w:r>
      <w:r>
        <w:rPr>
          <w:rFonts w:eastAsia="Georgia" w:cs="Georgia"/>
          <w:sz w:val="24"/>
          <w:szCs w:val="24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b/>
          <w:bCs/>
          <w:sz w:val="24"/>
          <w:szCs w:val="24"/>
        </w:rPr>
        <w:t>Ключевые факты об аварии: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Georgia" w:cs="Georgia"/>
          <w:sz w:val="24"/>
          <w:szCs w:val="24"/>
        </w:rPr>
        <w:t>7 декабря 2025 года на ТЭЦ-9 вышел из строя второй паровой котёл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Georgia" w:cs="Georgia"/>
          <w:sz w:val="24"/>
          <w:szCs w:val="24"/>
        </w:rPr>
        <w:t xml:space="preserve">Без тепла остались </w:t>
      </w:r>
      <w:r>
        <w:rPr>
          <w:rFonts w:eastAsia="Georgia" w:cs="Georgia"/>
          <w:b/>
          <w:bCs/>
          <w:sz w:val="24"/>
          <w:szCs w:val="24"/>
        </w:rPr>
        <w:t>167 тысяч жителей</w:t>
      </w:r>
      <w:r>
        <w:rPr>
          <w:rFonts w:eastAsia="Georgia" w:cs="Georgia"/>
          <w:sz w:val="24"/>
          <w:szCs w:val="24"/>
        </w:rPr>
        <w:t xml:space="preserve"> Ангарска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Georgia" w:cs="Georgia"/>
          <w:sz w:val="24"/>
          <w:szCs w:val="24"/>
        </w:rPr>
        <w:t xml:space="preserve">Затронуто </w:t>
      </w:r>
      <w:r>
        <w:rPr>
          <w:rFonts w:eastAsia="Georgia" w:cs="Georgia"/>
          <w:b/>
          <w:bCs/>
          <w:sz w:val="24"/>
          <w:szCs w:val="24"/>
        </w:rPr>
        <w:t>1546 многоквартирных домов</w:t>
      </w:r>
      <w:r>
        <w:rPr>
          <w:rFonts w:eastAsia="Georgia" w:cs="Georgia"/>
          <w:sz w:val="24"/>
          <w:szCs w:val="24"/>
        </w:rPr>
        <w:t xml:space="preserve"> и </w:t>
      </w:r>
      <w:r>
        <w:rPr>
          <w:rFonts w:eastAsia="Georgia" w:cs="Georgia"/>
          <w:b/>
          <w:bCs/>
          <w:sz w:val="24"/>
          <w:szCs w:val="24"/>
        </w:rPr>
        <w:t>121 объект социальной инфраструктуры</w:t>
      </w:r>
      <w:r>
        <w:rPr>
          <w:rFonts w:eastAsia="Georgia" w:cs="Georgia"/>
          <w:sz w:val="24"/>
          <w:szCs w:val="24"/>
        </w:rPr>
        <w:t xml:space="preserve"> (школы, детские сады, больницы)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Georgia" w:cs="Georgia"/>
          <w:sz w:val="24"/>
          <w:szCs w:val="24"/>
        </w:rPr>
        <w:t>Возможная причина — неудовлетворительная работа системы пожаротушения</w:t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Массовое количество запросов пользователей в период аварии и последующие месяцы сформировало негативные подсказки, связанные с аварией. На момент составления анализа (июль 2026 года, спустя 7 месяцев после аварии) эти подсказки, вероятно, всё ещё сохраняются в топе.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2.3. Оценка репутационных рисков</w:t>
      </w:r>
    </w:p>
    <w:p>
      <w:pPr>
        <w:pStyle w:val="Normal"/>
        <w:rPr/>
      </w:pPr>
      <w:r>
        <w:rPr/>
      </w:r>
    </w:p>
    <w:p>
      <w:pPr>
        <w:pStyle w:val="Normal"/>
        <w:spacing w:before="200" w:after="200"/>
        <w:rPr/>
      </w:pPr>
      <w:r>
        <w:rPr/>
      </w:r>
    </w:p>
    <w:tbl>
      <w:tblPr>
        <w:tblW w:w="5000" w:type="pct"/>
        <w:jc w:val="center"/>
        <w:tblInd w:w="0" w:type="dxa"/>
        <w:tblBorders>
          <w:top w:val="double" w:sz="2" w:space="0" w:color="1F4E79"/>
          <w:left w:val="single" w:sz="2" w:space="0" w:color="8DB4E2"/>
          <w:bottom w:val="double" w:sz="2" w:space="0" w:color="1F4E79"/>
          <w:right w:val="single" w:sz="2" w:space="0" w:color="8DB4E2"/>
          <w:insideH w:val="double" w:sz="2" w:space="0" w:color="1F4E79"/>
          <w:insideV w:val="single" w:sz="2" w:space="0" w:color="8DB4E2"/>
        </w:tblBorders>
        <w:tblCellMar>
          <w:top w:w="115" w:type="dxa"/>
          <w:left w:w="171" w:type="dxa"/>
          <w:bottom w:w="115" w:type="dxa"/>
          <w:right w:w="172" w:type="dxa"/>
        </w:tblCellMar>
      </w:tblPr>
      <w:tblGrid>
        <w:gridCol w:w="2137"/>
        <w:gridCol w:w="890"/>
        <w:gridCol w:w="5999"/>
      </w:tblGrid>
      <w:tr>
        <w:trPr>
          <w:tblHeader w:val="true"/>
          <w:cantSplit w:val="true"/>
        </w:trPr>
        <w:tc>
          <w:tcPr>
            <w:tcW w:w="2137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Риск</w:t>
            </w:r>
          </w:p>
        </w:tc>
        <w:tc>
          <w:tcPr>
            <w:tcW w:w="890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Уровень</w:t>
            </w:r>
          </w:p>
        </w:tc>
        <w:tc>
          <w:tcPr>
            <w:tcW w:w="5999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Обоснование</w:t>
            </w:r>
          </w:p>
        </w:tc>
      </w:tr>
      <w:tr>
        <w:trPr>
          <w:cantSplit w:val="true"/>
        </w:trPr>
        <w:tc>
          <w:tcPr>
            <w:tcW w:w="2137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Подсказка «авария» в топе</w:t>
            </w:r>
          </w:p>
        </w:tc>
        <w:tc>
          <w:tcPr>
            <w:tcW w:w="89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Критический</w:t>
            </w:r>
          </w:p>
        </w:tc>
        <w:tc>
          <w:tcPr>
            <w:tcW w:w="5999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Прямая ассоциация объекта с ЧС, формирует негативное восприятие ещё до перехода на сайт</w:t>
            </w:r>
          </w:p>
        </w:tc>
      </w:tr>
      <w:tr>
        <w:trPr>
          <w:cantSplit w:val="true"/>
        </w:trPr>
        <w:tc>
          <w:tcPr>
            <w:tcW w:w="2137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Отсутствие позитивных подсказок</w:t>
            </w:r>
          </w:p>
        </w:tc>
        <w:tc>
          <w:tcPr>
            <w:tcW w:w="89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Высокий</w:t>
            </w:r>
          </w:p>
        </w:tc>
        <w:tc>
          <w:tcPr>
            <w:tcW w:w="5999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Пользователь не видит альтернативных нейтральных или позитивных вариантов</w:t>
            </w:r>
          </w:p>
        </w:tc>
      </w:tr>
      <w:tr>
        <w:trPr>
          <w:cantSplit w:val="true"/>
        </w:trPr>
        <w:tc>
          <w:tcPr>
            <w:tcW w:w="2137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Влияние на ИИ-блоки (Нейро)</w:t>
            </w:r>
          </w:p>
        </w:tc>
        <w:tc>
          <w:tcPr>
            <w:tcW w:w="890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Высокий</w:t>
            </w:r>
          </w:p>
        </w:tc>
        <w:tc>
          <w:tcPr>
            <w:tcW w:w="5999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Яндекс Нейро может при ответе на запрос о ТЭЦ-9 акцентировать аварию как ключевой факт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32"/>
          <w:szCs w:val="32"/>
        </w:rPr>
        <w:t>3. Анализ ИИ-подсказок по запросу «Надвоицкий алюминиевый завод»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3.1. Предполагаемый перечень ИИ-подсказок</w:t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При вводе запроса «Надвоицкий алюминиевый завод» или «НАЗ» могут появляться следующие подсказки:</w:t>
      </w:r>
    </w:p>
    <w:p>
      <w:pPr>
        <w:pStyle w:val="Normal"/>
        <w:rPr/>
      </w:pPr>
      <w:r>
        <w:rPr/>
      </w:r>
    </w:p>
    <w:p>
      <w:pPr>
        <w:pStyle w:val="Normal"/>
        <w:spacing w:before="200" w:after="200"/>
        <w:rPr/>
      </w:pPr>
      <w:r>
        <w:rPr/>
      </w:r>
    </w:p>
    <w:tbl>
      <w:tblPr>
        <w:tblW w:w="5000" w:type="pct"/>
        <w:jc w:val="center"/>
        <w:tblInd w:w="0" w:type="dxa"/>
        <w:tblBorders>
          <w:top w:val="double" w:sz="2" w:space="0" w:color="1F4E79"/>
          <w:left w:val="single" w:sz="2" w:space="0" w:color="8DB4E2"/>
          <w:bottom w:val="double" w:sz="2" w:space="0" w:color="1F4E79"/>
          <w:right w:val="single" w:sz="2" w:space="0" w:color="8DB4E2"/>
          <w:insideH w:val="double" w:sz="2" w:space="0" w:color="1F4E79"/>
          <w:insideV w:val="single" w:sz="2" w:space="0" w:color="8DB4E2"/>
        </w:tblBorders>
        <w:tblCellMar>
          <w:top w:w="115" w:type="dxa"/>
          <w:left w:w="171" w:type="dxa"/>
          <w:bottom w:w="115" w:type="dxa"/>
          <w:right w:w="172" w:type="dxa"/>
        </w:tblCellMar>
      </w:tblPr>
      <w:tblGrid>
        <w:gridCol w:w="832"/>
        <w:gridCol w:w="5170"/>
        <w:gridCol w:w="1385"/>
        <w:gridCol w:w="1638"/>
      </w:tblGrid>
      <w:tr>
        <w:trPr>
          <w:tblHeader w:val="true"/>
          <w:cantSplit w:val="true"/>
        </w:trPr>
        <w:tc>
          <w:tcPr>
            <w:tcW w:w="832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№</w:t>
            </w:r>
          </w:p>
        </w:tc>
        <w:tc>
          <w:tcPr>
            <w:tcW w:w="5170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Подсказка</w:t>
            </w:r>
          </w:p>
        </w:tc>
        <w:tc>
          <w:tcPr>
            <w:tcW w:w="1385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Тип</w:t>
            </w:r>
          </w:p>
        </w:tc>
        <w:tc>
          <w:tcPr>
            <w:tcW w:w="1638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Уровень риска</w:t>
            </w:r>
          </w:p>
        </w:tc>
      </w:tr>
      <w:tr>
        <w:trPr>
          <w:cantSplit w:val="true"/>
        </w:trPr>
        <w:tc>
          <w:tcPr>
            <w:tcW w:w="832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1</w:t>
            </w:r>
          </w:p>
        </w:tc>
        <w:tc>
          <w:tcPr>
            <w:tcW w:w="517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«Надвоицкий алюминиевый завод закрыт»</w:t>
            </w:r>
          </w:p>
        </w:tc>
        <w:tc>
          <w:tcPr>
            <w:tcW w:w="1385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Негативная</w:t>
            </w:r>
          </w:p>
        </w:tc>
        <w:tc>
          <w:tcPr>
            <w:tcW w:w="16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Высокий</w:t>
            </w:r>
          </w:p>
        </w:tc>
      </w:tr>
      <w:tr>
        <w:trPr>
          <w:cantSplit w:val="true"/>
        </w:trPr>
        <w:tc>
          <w:tcPr>
            <w:tcW w:w="832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2</w:t>
            </w:r>
          </w:p>
        </w:tc>
        <w:tc>
          <w:tcPr>
            <w:tcW w:w="517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«Надвоицкий алюминиевый завод остановлен»</w:t>
            </w:r>
          </w:p>
        </w:tc>
        <w:tc>
          <w:tcPr>
            <w:tcW w:w="1385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Негативная</w:t>
            </w:r>
          </w:p>
        </w:tc>
        <w:tc>
          <w:tcPr>
            <w:tcW w:w="16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Высокий</w:t>
            </w:r>
          </w:p>
        </w:tc>
      </w:tr>
      <w:tr>
        <w:trPr>
          <w:cantSplit w:val="true"/>
        </w:trPr>
        <w:tc>
          <w:tcPr>
            <w:tcW w:w="832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3</w:t>
            </w:r>
          </w:p>
        </w:tc>
        <w:tc>
          <w:tcPr>
            <w:tcW w:w="517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«Надвоицкий алюминиевый завод история»</w:t>
            </w:r>
          </w:p>
        </w:tc>
        <w:tc>
          <w:tcPr>
            <w:tcW w:w="1385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Нейтральная</w:t>
            </w:r>
          </w:p>
        </w:tc>
        <w:tc>
          <w:tcPr>
            <w:tcW w:w="16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Низкий</w:t>
            </w:r>
          </w:p>
        </w:tc>
      </w:tr>
      <w:tr>
        <w:trPr>
          <w:cantSplit w:val="true"/>
        </w:trPr>
        <w:tc>
          <w:tcPr>
            <w:tcW w:w="832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4</w:t>
            </w:r>
          </w:p>
        </w:tc>
        <w:tc>
          <w:tcPr>
            <w:tcW w:w="517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«Надвоицкий алюминиевый завод продукция»</w:t>
            </w:r>
          </w:p>
        </w:tc>
        <w:tc>
          <w:tcPr>
            <w:tcW w:w="1385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Нейтральная</w:t>
            </w:r>
          </w:p>
        </w:tc>
        <w:tc>
          <w:tcPr>
            <w:tcW w:w="16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Низкий</w:t>
            </w:r>
          </w:p>
        </w:tc>
      </w:tr>
      <w:tr>
        <w:trPr>
          <w:cantSplit w:val="true"/>
        </w:trPr>
        <w:tc>
          <w:tcPr>
            <w:tcW w:w="832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5</w:t>
            </w:r>
          </w:p>
        </w:tc>
        <w:tc>
          <w:tcPr>
            <w:tcW w:w="517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«Надвоицкий алюминиевый завод Русал»</w:t>
            </w:r>
          </w:p>
        </w:tc>
        <w:tc>
          <w:tcPr>
            <w:tcW w:w="1385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Нейтральная</w:t>
            </w:r>
          </w:p>
        </w:tc>
        <w:tc>
          <w:tcPr>
            <w:tcW w:w="16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Низкий</w:t>
            </w:r>
          </w:p>
        </w:tc>
      </w:tr>
      <w:tr>
        <w:trPr>
          <w:cantSplit w:val="true"/>
        </w:trPr>
        <w:tc>
          <w:tcPr>
            <w:tcW w:w="832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6</w:t>
            </w:r>
          </w:p>
        </w:tc>
        <w:tc>
          <w:tcPr>
            <w:tcW w:w="5170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«Надвоицкий алюминиевый завод отходы»</w:t>
            </w:r>
          </w:p>
        </w:tc>
        <w:tc>
          <w:tcPr>
            <w:tcW w:w="1385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Негативная</w:t>
            </w:r>
          </w:p>
        </w:tc>
        <w:tc>
          <w:tcPr>
            <w:tcW w:w="1638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Средний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3.2. Обоснование</w:t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 xml:space="preserve">Надвоицкий алюминиевый завод (НАЗ) — промышленное предприятие в посёлке Надвоицы Республики Карелия, работавшее с </w:t>
      </w:r>
      <w:r>
        <w:rPr>
          <w:rFonts w:eastAsia="Georgia" w:cs="Georgia"/>
          <w:b/>
          <w:bCs/>
          <w:sz w:val="24"/>
          <w:szCs w:val="24"/>
        </w:rPr>
        <w:t>1954 по 2018 год</w:t>
      </w:r>
      <w:r>
        <w:rPr>
          <w:rFonts w:eastAsia="Georgia" w:cs="Georgia"/>
          <w:sz w:val="24"/>
          <w:szCs w:val="24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b/>
          <w:bCs/>
          <w:sz w:val="24"/>
          <w:szCs w:val="24"/>
        </w:rPr>
        <w:t>Ключевые факты, формирующие негативные подсказки: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Georgia" w:cs="Georgia"/>
          <w:sz w:val="24"/>
          <w:szCs w:val="24"/>
        </w:rPr>
        <w:t xml:space="preserve">Завод </w:t>
      </w:r>
      <w:r>
        <w:rPr>
          <w:rFonts w:eastAsia="Georgia" w:cs="Georgia"/>
          <w:b/>
          <w:bCs/>
          <w:sz w:val="24"/>
          <w:szCs w:val="24"/>
        </w:rPr>
        <w:t>остановлен в 2018 году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Georgia" w:cs="Georgia"/>
          <w:sz w:val="24"/>
          <w:szCs w:val="24"/>
        </w:rPr>
        <w:t xml:space="preserve">На складах скопилось порядка </w:t>
      </w:r>
      <w:r>
        <w:rPr>
          <w:rFonts w:eastAsia="Georgia" w:cs="Georgia"/>
          <w:b/>
          <w:bCs/>
          <w:sz w:val="24"/>
          <w:szCs w:val="24"/>
        </w:rPr>
        <w:t>трёх тысяч тонн алюминия</w:t>
      </w:r>
      <w:r>
        <w:rPr>
          <w:rFonts w:eastAsia="Georgia" w:cs="Georgia"/>
          <w:sz w:val="24"/>
          <w:szCs w:val="24"/>
        </w:rPr>
        <w:t>, который стал невостребованным из-за санкций США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Georgia" w:cs="Georgia"/>
          <w:sz w:val="24"/>
          <w:szCs w:val="24"/>
        </w:rPr>
        <w:t xml:space="preserve">Существует проблема </w:t>
      </w:r>
      <w:r>
        <w:rPr>
          <w:rFonts w:eastAsia="Georgia" w:cs="Georgia"/>
          <w:b/>
          <w:bCs/>
          <w:sz w:val="24"/>
          <w:szCs w:val="24"/>
        </w:rPr>
        <w:t>хранилища промышленных отходов</w:t>
      </w:r>
      <w:r>
        <w:rPr>
          <w:rFonts w:eastAsia="Georgia" w:cs="Georgia"/>
          <w:sz w:val="24"/>
          <w:szCs w:val="24"/>
        </w:rPr>
        <w:t>, требующая рекультивации</w:t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 xml:space="preserve">При этом есть и </w:t>
      </w:r>
      <w:r>
        <w:rPr>
          <w:rFonts w:eastAsia="Georgia" w:cs="Georgia"/>
          <w:b/>
          <w:bCs/>
          <w:sz w:val="24"/>
          <w:szCs w:val="24"/>
        </w:rPr>
        <w:t>позитивная динамика</w:t>
      </w:r>
      <w:r>
        <w:rPr>
          <w:rFonts w:eastAsia="Georgia" w:cs="Georgia"/>
          <w:sz w:val="24"/>
          <w:szCs w:val="24"/>
        </w:rPr>
        <w:t>, которая пока слабо отражена в подсказках: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Georgia" w:cs="Georgia"/>
          <w:sz w:val="24"/>
          <w:szCs w:val="24"/>
        </w:rPr>
        <w:t>На площадке завода успешно работает «Русский Радиатор» с выпуском более 2 млн секций в год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Georgia" w:cs="Georgia"/>
          <w:sz w:val="24"/>
          <w:szCs w:val="24"/>
        </w:rPr>
        <w:t>В 2026 году планируется завершение строительства одного из крупнейших на Северо-Западе центров обработки данных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Georgia" w:cs="Georgia"/>
          <w:sz w:val="24"/>
          <w:szCs w:val="24"/>
        </w:rPr>
        <w:t>РУСАЛ и власти Карелии ведут работу по восстановлению земель вокруг хранилища отходов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3.3. Оценка репутационных рисков</w:t>
      </w:r>
    </w:p>
    <w:p>
      <w:pPr>
        <w:pStyle w:val="Normal"/>
        <w:rPr/>
      </w:pPr>
      <w:r>
        <w:rPr/>
      </w:r>
    </w:p>
    <w:p>
      <w:pPr>
        <w:pStyle w:val="Normal"/>
        <w:spacing w:before="200" w:after="200"/>
        <w:rPr/>
      </w:pPr>
      <w:r>
        <w:rPr/>
      </w:r>
    </w:p>
    <w:tbl>
      <w:tblPr>
        <w:tblW w:w="5000" w:type="pct"/>
        <w:jc w:val="center"/>
        <w:tblInd w:w="0" w:type="dxa"/>
        <w:tblBorders>
          <w:top w:val="double" w:sz="2" w:space="0" w:color="1F4E79"/>
          <w:left w:val="single" w:sz="2" w:space="0" w:color="8DB4E2"/>
          <w:bottom w:val="double" w:sz="2" w:space="0" w:color="1F4E79"/>
          <w:right w:val="single" w:sz="2" w:space="0" w:color="8DB4E2"/>
          <w:insideH w:val="double" w:sz="2" w:space="0" w:color="1F4E79"/>
          <w:insideV w:val="single" w:sz="2" w:space="0" w:color="8DB4E2"/>
        </w:tblBorders>
        <w:tblCellMar>
          <w:top w:w="115" w:type="dxa"/>
          <w:left w:w="171" w:type="dxa"/>
          <w:bottom w:w="115" w:type="dxa"/>
          <w:right w:w="172" w:type="dxa"/>
        </w:tblCellMar>
      </w:tblPr>
      <w:tblGrid>
        <w:gridCol w:w="2712"/>
        <w:gridCol w:w="886"/>
        <w:gridCol w:w="5428"/>
      </w:tblGrid>
      <w:tr>
        <w:trPr>
          <w:tblHeader w:val="true"/>
          <w:cantSplit w:val="true"/>
        </w:trPr>
        <w:tc>
          <w:tcPr>
            <w:tcW w:w="2712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Риск</w:t>
            </w:r>
          </w:p>
        </w:tc>
        <w:tc>
          <w:tcPr>
            <w:tcW w:w="886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Уровень</w:t>
            </w:r>
          </w:p>
        </w:tc>
        <w:tc>
          <w:tcPr>
            <w:tcW w:w="5428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Обоснование</w:t>
            </w:r>
          </w:p>
        </w:tc>
      </w:tr>
      <w:tr>
        <w:trPr>
          <w:cantSplit w:val="true"/>
        </w:trPr>
        <w:tc>
          <w:tcPr>
            <w:tcW w:w="2712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Подсказка «закрыт»/«остановлен»</w:t>
            </w:r>
          </w:p>
        </w:tc>
        <w:tc>
          <w:tcPr>
            <w:tcW w:w="886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Критический</w:t>
            </w:r>
          </w:p>
        </w:tc>
        <w:tc>
          <w:tcPr>
            <w:tcW w:w="542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Создаёт впечатление полного прекращения деятельности, хотя завод перепрофилируется</w:t>
            </w:r>
          </w:p>
        </w:tc>
      </w:tr>
      <w:tr>
        <w:trPr>
          <w:cantSplit w:val="true"/>
        </w:trPr>
        <w:tc>
          <w:tcPr>
            <w:tcW w:w="2712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Подсказка «отходы»</w:t>
            </w:r>
          </w:p>
        </w:tc>
        <w:tc>
          <w:tcPr>
            <w:tcW w:w="886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Средний</w:t>
            </w:r>
          </w:p>
        </w:tc>
        <w:tc>
          <w:tcPr>
            <w:tcW w:w="542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Акцентирует экологические проблемы, хотя ведутся работы по их решению</w:t>
            </w:r>
          </w:p>
        </w:tc>
      </w:tr>
      <w:tr>
        <w:trPr>
          <w:cantSplit w:val="true"/>
        </w:trPr>
        <w:tc>
          <w:tcPr>
            <w:tcW w:w="2712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Отсутствие подсказок о новой деятельности</w:t>
            </w:r>
          </w:p>
        </w:tc>
        <w:tc>
          <w:tcPr>
            <w:tcW w:w="886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Высокий</w:t>
            </w:r>
          </w:p>
        </w:tc>
        <w:tc>
          <w:tcPr>
            <w:tcW w:w="5428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Пользователь не видит информации о «Русском Радиаторе» и ЦОД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32"/>
          <w:szCs w:val="32"/>
        </w:rPr>
        <w:t>4. Предложения по работе над изменением ИИ-подсказок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4.1. Общий подход</w:t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 xml:space="preserve">ИИ-подсказки формируются на основе </w:t>
      </w:r>
      <w:r>
        <w:rPr>
          <w:rFonts w:eastAsia="Georgia" w:cs="Georgia"/>
          <w:b/>
          <w:bCs/>
          <w:sz w:val="24"/>
          <w:szCs w:val="24"/>
        </w:rPr>
        <w:t>частотности запросов пользователей</w:t>
      </w:r>
      <w:r>
        <w:rPr>
          <w:rFonts w:eastAsia="Georgia" w:cs="Georgia"/>
          <w:sz w:val="24"/>
          <w:szCs w:val="24"/>
        </w:rPr>
        <w:t>. Чтобы изменить подсказки, необходимо: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Создать массив позитивного/нейтрального контента</w:t>
      </w:r>
      <w:r>
        <w:rPr>
          <w:rFonts w:eastAsia="Georgia" w:cs="Georgia"/>
          <w:sz w:val="24"/>
          <w:szCs w:val="24"/>
        </w:rPr>
        <w:t xml:space="preserve"> об объектах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Обеспечить высокую индексацию</w:t>
      </w:r>
      <w:r>
        <w:rPr>
          <w:rFonts w:eastAsia="Georgia" w:cs="Georgia"/>
          <w:sz w:val="24"/>
          <w:szCs w:val="24"/>
        </w:rPr>
        <w:t xml:space="preserve"> этого контента поисковыми системами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Стимулировать пользовательские запросы</w:t>
      </w:r>
      <w:r>
        <w:rPr>
          <w:rFonts w:eastAsia="Georgia" w:cs="Georgia"/>
          <w:sz w:val="24"/>
          <w:szCs w:val="24"/>
        </w:rPr>
        <w:t xml:space="preserve"> по новым, позитивным формулировкам</w:t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Работать с Яндекс Нейро</w:t>
      </w:r>
      <w:r>
        <w:rPr>
          <w:rFonts w:eastAsia="Georgia" w:cs="Georgia"/>
          <w:sz w:val="24"/>
          <w:szCs w:val="24"/>
        </w:rPr>
        <w:t xml:space="preserve"> через создание контента на авторитетных площадках, которые ИИ будет использовать как источники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4.2. По запросу «ТЭЦ-9 иркутская область»</w:t>
      </w:r>
    </w:p>
    <w:p>
      <w:pPr>
        <w:pStyle w:val="Normal"/>
        <w:rPr/>
      </w:pPr>
      <w:r>
        <w:rPr/>
      </w:r>
    </w:p>
    <w:p>
      <w:pPr>
        <w:pStyle w:val="Normal"/>
        <w:spacing w:before="200" w:after="200"/>
        <w:rPr/>
      </w:pPr>
      <w:r>
        <w:rPr/>
      </w:r>
    </w:p>
    <w:tbl>
      <w:tblPr>
        <w:tblW w:w="5000" w:type="pct"/>
        <w:jc w:val="center"/>
        <w:tblInd w:w="0" w:type="dxa"/>
        <w:tblBorders>
          <w:top w:val="double" w:sz="2" w:space="0" w:color="1F4E79"/>
          <w:left w:val="single" w:sz="2" w:space="0" w:color="8DB4E2"/>
          <w:bottom w:val="double" w:sz="2" w:space="0" w:color="1F4E79"/>
          <w:right w:val="single" w:sz="2" w:space="0" w:color="8DB4E2"/>
          <w:insideH w:val="double" w:sz="2" w:space="0" w:color="1F4E79"/>
          <w:insideV w:val="single" w:sz="2" w:space="0" w:color="8DB4E2"/>
        </w:tblBorders>
        <w:tblCellMar>
          <w:top w:w="115" w:type="dxa"/>
          <w:left w:w="171" w:type="dxa"/>
          <w:bottom w:w="115" w:type="dxa"/>
          <w:right w:w="172" w:type="dxa"/>
        </w:tblCellMar>
      </w:tblPr>
      <w:tblGrid>
        <w:gridCol w:w="750"/>
        <w:gridCol w:w="6773"/>
        <w:gridCol w:w="751"/>
        <w:gridCol w:w="751"/>
      </w:tblGrid>
      <w:tr>
        <w:trPr>
          <w:tblHeader w:val="true"/>
          <w:cantSplit w:val="true"/>
        </w:trPr>
        <w:tc>
          <w:tcPr>
            <w:tcW w:w="750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№</w:t>
            </w:r>
          </w:p>
        </w:tc>
        <w:tc>
          <w:tcPr>
            <w:tcW w:w="6773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Мероприятие</w:t>
            </w:r>
          </w:p>
        </w:tc>
        <w:tc>
          <w:tcPr>
            <w:tcW w:w="751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Срок</w:t>
            </w:r>
          </w:p>
        </w:tc>
        <w:tc>
          <w:tcPr>
            <w:tcW w:w="751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Приоритет</w:t>
            </w:r>
          </w:p>
        </w:tc>
      </w:tr>
      <w:tr>
        <w:trPr>
          <w:cantSplit w:val="true"/>
        </w:trPr>
        <w:tc>
          <w:tcPr>
            <w:tcW w:w="75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1</w:t>
            </w:r>
          </w:p>
        </w:tc>
        <w:tc>
          <w:tcPr>
            <w:tcW w:w="6773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Создание и продвижение контента о восстановлении и модернизации ТЭЦ-9</w:t>
            </w:r>
            <w:r>
              <w:rPr>
                <w:rFonts w:eastAsia="Georgia" w:cs="Georgia"/>
                <w:sz w:val="24"/>
                <w:szCs w:val="24"/>
              </w:rPr>
              <w:t xml:space="preserve"> — публикации в региональных и отраслевых СМИ о завершении ремонтных работ, повышении надёжности, модернизации оборудования</w:t>
            </w:r>
          </w:p>
        </w:tc>
        <w:tc>
          <w:tcPr>
            <w:tcW w:w="75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1–2 месяца</w:t>
            </w:r>
          </w:p>
        </w:tc>
        <w:tc>
          <w:tcPr>
            <w:tcW w:w="75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Высший</w:t>
            </w:r>
          </w:p>
        </w:tc>
      </w:tr>
      <w:tr>
        <w:trPr>
          <w:cantSplit w:val="true"/>
        </w:trPr>
        <w:tc>
          <w:tcPr>
            <w:tcW w:w="75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2</w:t>
            </w:r>
          </w:p>
        </w:tc>
        <w:tc>
          <w:tcPr>
            <w:tcW w:w="6773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Размещение позитивных материалов о работе ТЭЦ-9</w:t>
            </w:r>
            <w:r>
              <w:rPr>
                <w:rFonts w:eastAsia="Georgia" w:cs="Georgia"/>
                <w:sz w:val="24"/>
                <w:szCs w:val="24"/>
              </w:rPr>
              <w:t xml:space="preserve"> — статьи о кадровом составе, производственных достижениях, социальной роли станции в обеспечении теплом города</w:t>
            </w:r>
          </w:p>
        </w:tc>
        <w:tc>
          <w:tcPr>
            <w:tcW w:w="75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1–2 месяца</w:t>
            </w:r>
          </w:p>
        </w:tc>
        <w:tc>
          <w:tcPr>
            <w:tcW w:w="75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Высокий</w:t>
            </w:r>
          </w:p>
        </w:tc>
      </w:tr>
      <w:tr>
        <w:trPr>
          <w:cantSplit w:val="true"/>
        </w:trPr>
        <w:tc>
          <w:tcPr>
            <w:tcW w:w="75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3</w:t>
            </w:r>
          </w:p>
        </w:tc>
        <w:tc>
          <w:tcPr>
            <w:tcW w:w="6773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Публикация материалов о системах безопасности</w:t>
            </w:r>
            <w:r>
              <w:rPr>
                <w:rFonts w:eastAsia="Georgia" w:cs="Georgia"/>
                <w:sz w:val="24"/>
                <w:szCs w:val="24"/>
              </w:rPr>
              <w:t xml:space="preserve"> — информация о внедрённых решениях по повышению надёжности и предотвращению аварий</w:t>
            </w:r>
          </w:p>
        </w:tc>
        <w:tc>
          <w:tcPr>
            <w:tcW w:w="75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2–3 месяца</w:t>
            </w:r>
          </w:p>
        </w:tc>
        <w:tc>
          <w:tcPr>
            <w:tcW w:w="75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Высокий</w:t>
            </w:r>
          </w:p>
        </w:tc>
      </w:tr>
      <w:tr>
        <w:trPr>
          <w:cantSplit w:val="true"/>
        </w:trPr>
        <w:tc>
          <w:tcPr>
            <w:tcW w:w="75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4</w:t>
            </w:r>
          </w:p>
        </w:tc>
        <w:tc>
          <w:tcPr>
            <w:tcW w:w="6773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Работа с региональными СМИ и блогерами</w:t>
            </w:r>
            <w:r>
              <w:rPr>
                <w:rFonts w:eastAsia="Georgia" w:cs="Georgia"/>
                <w:sz w:val="24"/>
                <w:szCs w:val="24"/>
              </w:rPr>
              <w:t xml:space="preserve"> для создания нейтрального и позитивного информационного фона вокруг станции</w:t>
            </w:r>
          </w:p>
        </w:tc>
        <w:tc>
          <w:tcPr>
            <w:tcW w:w="75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1–3 месяца</w:t>
            </w:r>
          </w:p>
        </w:tc>
        <w:tc>
          <w:tcPr>
            <w:tcW w:w="75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Средний</w:t>
            </w:r>
          </w:p>
        </w:tc>
      </w:tr>
      <w:tr>
        <w:trPr>
          <w:cantSplit w:val="true"/>
        </w:trPr>
        <w:tc>
          <w:tcPr>
            <w:tcW w:w="75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5</w:t>
            </w:r>
          </w:p>
        </w:tc>
        <w:tc>
          <w:tcPr>
            <w:tcW w:w="6773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SEO-оптимизация позитивных материалов</w:t>
            </w:r>
            <w:r>
              <w:rPr>
                <w:rFonts w:eastAsia="Georgia" w:cs="Georgia"/>
                <w:sz w:val="24"/>
                <w:szCs w:val="24"/>
              </w:rPr>
              <w:t xml:space="preserve"> под запросы «ТЭЦ-9 модернизация», «ТЭЦ-9 Ангарск работа», «ТЭЦ-9 надёжность»</w:t>
            </w:r>
          </w:p>
        </w:tc>
        <w:tc>
          <w:tcPr>
            <w:tcW w:w="75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1–2 месяца</w:t>
            </w:r>
          </w:p>
        </w:tc>
        <w:tc>
          <w:tcPr>
            <w:tcW w:w="75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Высокий</w:t>
            </w:r>
          </w:p>
        </w:tc>
      </w:tr>
      <w:tr>
        <w:trPr>
          <w:cantSplit w:val="true"/>
        </w:trPr>
        <w:tc>
          <w:tcPr>
            <w:tcW w:w="750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6</w:t>
            </w:r>
          </w:p>
        </w:tc>
        <w:tc>
          <w:tcPr>
            <w:tcW w:w="6773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Мониторинг и анализ изменения подсказок</w:t>
            </w:r>
            <w:r>
              <w:rPr>
                <w:rFonts w:eastAsia="Georgia" w:cs="Georgia"/>
                <w:sz w:val="24"/>
                <w:szCs w:val="24"/>
              </w:rPr>
              <w:t xml:space="preserve"> — ежемесячная проверка динамики</w:t>
            </w:r>
          </w:p>
        </w:tc>
        <w:tc>
          <w:tcPr>
            <w:tcW w:w="751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Весь период</w:t>
            </w:r>
          </w:p>
        </w:tc>
        <w:tc>
          <w:tcPr>
            <w:tcW w:w="751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Постоянно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b/>
          <w:bCs/>
          <w:sz w:val="24"/>
          <w:szCs w:val="24"/>
        </w:rPr>
        <w:t>Ожидаемый результат:</w:t>
      </w:r>
      <w:r>
        <w:rPr>
          <w:rFonts w:eastAsia="Georgia" w:cs="Georgia"/>
          <w:sz w:val="24"/>
          <w:szCs w:val="24"/>
        </w:rPr>
        <w:t xml:space="preserve"> смещение подсказок в сторону «ТЭЦ-9 модернизация», «ТЭЦ-9 восстановление», «ТЭЦ-9 Ангарск работа» при сохранении нейтральных («новости», «мощность») и снижении негативных («авария»).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4.3. По запросу «Надвоицкий алюминиевый завод»</w:t>
      </w:r>
    </w:p>
    <w:p>
      <w:pPr>
        <w:pStyle w:val="Normal"/>
        <w:rPr/>
      </w:pPr>
      <w:r>
        <w:rPr/>
      </w:r>
    </w:p>
    <w:p>
      <w:pPr>
        <w:pStyle w:val="Normal"/>
        <w:spacing w:before="200" w:after="200"/>
        <w:rPr/>
      </w:pPr>
      <w:r>
        <w:rPr/>
      </w:r>
    </w:p>
    <w:tbl>
      <w:tblPr>
        <w:tblW w:w="5000" w:type="pct"/>
        <w:jc w:val="center"/>
        <w:tblInd w:w="0" w:type="dxa"/>
        <w:tblBorders>
          <w:top w:val="double" w:sz="2" w:space="0" w:color="1F4E79"/>
          <w:left w:val="single" w:sz="2" w:space="0" w:color="8DB4E2"/>
          <w:bottom w:val="double" w:sz="2" w:space="0" w:color="1F4E79"/>
          <w:right w:val="single" w:sz="2" w:space="0" w:color="8DB4E2"/>
          <w:insideH w:val="double" w:sz="2" w:space="0" w:color="1F4E79"/>
          <w:insideV w:val="single" w:sz="2" w:space="0" w:color="8DB4E2"/>
        </w:tblBorders>
        <w:tblCellMar>
          <w:top w:w="115" w:type="dxa"/>
          <w:left w:w="171" w:type="dxa"/>
          <w:bottom w:w="115" w:type="dxa"/>
          <w:right w:w="172" w:type="dxa"/>
        </w:tblCellMar>
      </w:tblPr>
      <w:tblGrid>
        <w:gridCol w:w="764"/>
        <w:gridCol w:w="6732"/>
        <w:gridCol w:w="765"/>
        <w:gridCol w:w="764"/>
      </w:tblGrid>
      <w:tr>
        <w:trPr>
          <w:tblHeader w:val="true"/>
          <w:cantSplit w:val="true"/>
        </w:trPr>
        <w:tc>
          <w:tcPr>
            <w:tcW w:w="764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№</w:t>
            </w:r>
          </w:p>
        </w:tc>
        <w:tc>
          <w:tcPr>
            <w:tcW w:w="6732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Мероприятие</w:t>
            </w:r>
          </w:p>
        </w:tc>
        <w:tc>
          <w:tcPr>
            <w:tcW w:w="765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Срок</w:t>
            </w:r>
          </w:p>
        </w:tc>
        <w:tc>
          <w:tcPr>
            <w:tcW w:w="764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Приоритет</w:t>
            </w:r>
          </w:p>
        </w:tc>
      </w:tr>
      <w:tr>
        <w:trPr>
          <w:cantSplit w:val="true"/>
        </w:trPr>
        <w:tc>
          <w:tcPr>
            <w:tcW w:w="76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1</w:t>
            </w:r>
          </w:p>
        </w:tc>
        <w:tc>
          <w:tcPr>
            <w:tcW w:w="6732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Создание и продвижение контента о новой жизни НАЗа</w:t>
            </w:r>
            <w:r>
              <w:rPr>
                <w:rFonts w:eastAsia="Georgia" w:cs="Georgia"/>
                <w:sz w:val="24"/>
                <w:szCs w:val="24"/>
              </w:rPr>
              <w:t xml:space="preserve"> — публикации о работе «Русского Радиатора», строительстве ЦОД, создании новых рабочих мест</w:t>
            </w:r>
          </w:p>
        </w:tc>
        <w:tc>
          <w:tcPr>
            <w:tcW w:w="765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1–2 месяца</w:t>
            </w:r>
          </w:p>
        </w:tc>
        <w:tc>
          <w:tcPr>
            <w:tcW w:w="76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Высший</w:t>
            </w:r>
          </w:p>
        </w:tc>
      </w:tr>
      <w:tr>
        <w:trPr>
          <w:cantSplit w:val="true"/>
        </w:trPr>
        <w:tc>
          <w:tcPr>
            <w:tcW w:w="76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2</w:t>
            </w:r>
          </w:p>
        </w:tc>
        <w:tc>
          <w:tcPr>
            <w:tcW w:w="6732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Размещение материалов об экологической программе</w:t>
            </w:r>
            <w:r>
              <w:rPr>
                <w:rFonts w:eastAsia="Georgia" w:cs="Georgia"/>
                <w:sz w:val="24"/>
                <w:szCs w:val="24"/>
              </w:rPr>
              <w:t xml:space="preserve"> — информация о рекультивации земель, сотрудничестве с властями Карелии</w:t>
            </w:r>
          </w:p>
        </w:tc>
        <w:tc>
          <w:tcPr>
            <w:tcW w:w="765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1–2 месяца</w:t>
            </w:r>
          </w:p>
        </w:tc>
        <w:tc>
          <w:tcPr>
            <w:tcW w:w="76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Высокий</w:t>
            </w:r>
          </w:p>
        </w:tc>
      </w:tr>
      <w:tr>
        <w:trPr>
          <w:cantSplit w:val="true"/>
        </w:trPr>
        <w:tc>
          <w:tcPr>
            <w:tcW w:w="76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3</w:t>
            </w:r>
          </w:p>
        </w:tc>
        <w:tc>
          <w:tcPr>
            <w:tcW w:w="6732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Публикации о промышленном потенциале региона</w:t>
            </w:r>
            <w:r>
              <w:rPr>
                <w:rFonts w:eastAsia="Georgia" w:cs="Georgia"/>
                <w:sz w:val="24"/>
                <w:szCs w:val="24"/>
              </w:rPr>
              <w:t xml:space="preserve"> — статьи о значении НАЗа для экономики Карелии, развитии промышленного кластера</w:t>
            </w:r>
          </w:p>
        </w:tc>
        <w:tc>
          <w:tcPr>
            <w:tcW w:w="765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2–3 месяца</w:t>
            </w:r>
          </w:p>
        </w:tc>
        <w:tc>
          <w:tcPr>
            <w:tcW w:w="76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Средний</w:t>
            </w:r>
          </w:p>
        </w:tc>
      </w:tr>
      <w:tr>
        <w:trPr>
          <w:cantSplit w:val="true"/>
        </w:trPr>
        <w:tc>
          <w:tcPr>
            <w:tcW w:w="76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4</w:t>
            </w:r>
          </w:p>
        </w:tc>
        <w:tc>
          <w:tcPr>
            <w:tcW w:w="6732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Работа с энциклопедическими и справочными ресурсами</w:t>
            </w:r>
            <w:r>
              <w:rPr>
                <w:rFonts w:eastAsia="Georgia" w:cs="Georgia"/>
                <w:sz w:val="24"/>
                <w:szCs w:val="24"/>
              </w:rPr>
              <w:t xml:space="preserve"> — обновление информации в Википедии, Рувики, отраслевых справочниках с акцентом на текущую деятельность</w:t>
            </w:r>
          </w:p>
        </w:tc>
        <w:tc>
          <w:tcPr>
            <w:tcW w:w="765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2–3 месяца</w:t>
            </w:r>
          </w:p>
        </w:tc>
        <w:tc>
          <w:tcPr>
            <w:tcW w:w="76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Высокий</w:t>
            </w:r>
          </w:p>
        </w:tc>
      </w:tr>
      <w:tr>
        <w:trPr>
          <w:cantSplit w:val="true"/>
        </w:trPr>
        <w:tc>
          <w:tcPr>
            <w:tcW w:w="76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5</w:t>
            </w:r>
          </w:p>
        </w:tc>
        <w:tc>
          <w:tcPr>
            <w:tcW w:w="6732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Создание контента под новые запросы</w:t>
            </w:r>
            <w:r>
              <w:rPr>
                <w:rFonts w:eastAsia="Georgia" w:cs="Georgia"/>
                <w:sz w:val="24"/>
                <w:szCs w:val="24"/>
              </w:rPr>
              <w:t xml:space="preserve"> — «Надвоицкий алюминиевый завод Русский Радиатор», «Надвоицкий алюминиевый завод ЦОД», «НАЗ Карелия развитие»</w:t>
            </w:r>
          </w:p>
        </w:tc>
        <w:tc>
          <w:tcPr>
            <w:tcW w:w="765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1–2 месяца</w:t>
            </w:r>
          </w:p>
        </w:tc>
        <w:tc>
          <w:tcPr>
            <w:tcW w:w="76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Высокий</w:t>
            </w:r>
          </w:p>
        </w:tc>
      </w:tr>
      <w:tr>
        <w:trPr>
          <w:cantSplit w:val="true"/>
        </w:trPr>
        <w:tc>
          <w:tcPr>
            <w:tcW w:w="764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6</w:t>
            </w:r>
          </w:p>
        </w:tc>
        <w:tc>
          <w:tcPr>
            <w:tcW w:w="6732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Мониторинг и анализ изменения подсказок</w:t>
            </w:r>
            <w:r>
              <w:rPr>
                <w:rFonts w:eastAsia="Georgia" w:cs="Georgia"/>
                <w:sz w:val="24"/>
                <w:szCs w:val="24"/>
              </w:rPr>
              <w:t xml:space="preserve"> — ежемесячная проверка динамики</w:t>
            </w:r>
          </w:p>
        </w:tc>
        <w:tc>
          <w:tcPr>
            <w:tcW w:w="765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Весь период</w:t>
            </w:r>
          </w:p>
        </w:tc>
        <w:tc>
          <w:tcPr>
            <w:tcW w:w="764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Постоянно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b/>
          <w:bCs/>
          <w:sz w:val="24"/>
          <w:szCs w:val="24"/>
        </w:rPr>
        <w:t>Ожидаемый результат:</w:t>
      </w:r>
      <w:r>
        <w:rPr>
          <w:rFonts w:eastAsia="Georgia" w:cs="Georgia"/>
          <w:sz w:val="24"/>
          <w:szCs w:val="24"/>
        </w:rPr>
        <w:t xml:space="preserve"> смещение подсказок в сторону «Надвоицкий алюминиевый завод Русский Радиатор», «Надвоицкий алюминиевый завод развитие», «НАЗ Карелия» при сохранении нейтральных («история», «продукция») и снижении негативных («закрыт», «отходы»).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32"/>
          <w:szCs w:val="32"/>
        </w:rPr>
        <w:t>5. Выводы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По запросу «ТЭЦ-9 иркутская область»</w:t>
      </w:r>
      <w:r>
        <w:rPr>
          <w:rFonts w:eastAsia="Georgia" w:cs="Georgia"/>
          <w:sz w:val="24"/>
          <w:szCs w:val="24"/>
        </w:rPr>
        <w:t xml:space="preserve"> — основная проблема в доминировании подсказок, связанных с аварией декабря 2025 года. Необходимо создание массива контента о восстановлении, модернизации и надёжности станции для смещения пользовательских запросов в позитивное русло.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По запросу «Надвоицкий алюминиевый завод»</w:t>
      </w:r>
      <w:r>
        <w:rPr>
          <w:rFonts w:eastAsia="Georgia" w:cs="Georgia"/>
          <w:sz w:val="24"/>
          <w:szCs w:val="24"/>
        </w:rPr>
        <w:t xml:space="preserve"> — основная проблема в подсказках «закрыт» и «остановлен», тогда как завод фактически перепрофилируется и развивается (Русский Радиатор, ЦОД). Необходимо активное продвижение информации о новой жизни предприятия.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80" w:after="80"/>
        <w:rPr/>
      </w:pPr>
      <w:r>
        <w:rPr>
          <w:rFonts w:eastAsia="Georgia" w:cs="Georgia"/>
          <w:b/>
          <w:bCs/>
          <w:sz w:val="24"/>
          <w:szCs w:val="24"/>
        </w:rPr>
        <w:t>Общая рекомендация</w:t>
      </w:r>
      <w:r>
        <w:rPr>
          <w:rFonts w:eastAsia="Georgia" w:cs="Georgia"/>
          <w:sz w:val="24"/>
          <w:szCs w:val="24"/>
        </w:rPr>
        <w:t xml:space="preserve"> — работа должна вестись комплексно: создание контента + SEO-оптимизация + работа с СМИ + мониторинг динамики подсказок. Ожидаемый срок заметного изменения подсказок — </w:t>
      </w:r>
      <w:r>
        <w:rPr>
          <w:rFonts w:eastAsia="Georgia" w:cs="Georgia"/>
          <w:b/>
          <w:bCs/>
          <w:sz w:val="24"/>
          <w:szCs w:val="24"/>
        </w:rPr>
        <w:t>3–4 месяца</w:t>
      </w:r>
      <w:r>
        <w:rPr>
          <w:rFonts w:eastAsia="Georgia" w:cs="Georgia"/>
          <w:sz w:val="24"/>
          <w:szCs w:val="24"/>
        </w:rPr>
        <w:t xml:space="preserve"> при условии регулярного размещения материалов.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40" w:right="1440" w:header="708" w:top="1440" w:footer="708" w:bottom="1440" w:gutter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before="0" w:after="200"/>
      <w:jc w:val="center"/>
      <w:rPr/>
    </w:pPr>
    <w:r>
      <w:rPr>
        <w:rFonts w:eastAsia="Georgia" w:cs="Georgia"/>
        <w:sz w:val="18"/>
        <w:szCs w:val="18"/>
      </w:rPr>
      <w:t xml:space="preserve">Page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> NUMPAGES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exact" w:line="360"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before="0" w:after="200"/>
      <w:jc w:val="right"/>
      <w:rPr/>
    </w:pPr>
    <w:r>
      <w:rPr>
        <w:rFonts w:eastAsia="Georgia" w:cs="Georgia"/>
        <w:sz w:val="20"/>
        <w:szCs w:val="20"/>
      </w:rPr>
      <w:t xml:space="preserve">Page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> NUMPAGES </w:instrText>
    </w:r>
    <w:r>
      <w:rPr/>
      <w:fldChar w:fldCharType="separate"/>
    </w:r>
    <w:r>
      <w:rPr/>
      <w:t>13</w:t>
    </w:r>
    <w:r>
      <w:rPr/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exact" w:line="360" w:before="0" w:after="20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Georgia" w:cs="Georgia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spacing w:lineRule="exact" w:line="360" w:before="0" w:after="200"/>
    </w:pPr>
    <w:rPr>
      <w:rFonts w:ascii="Georgia" w:hAnsi="Georgia" w:eastAsia="Georgia" w:cs="Georgia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480" w:after="240"/>
    </w:pPr>
    <w:rPr>
      <w:rFonts w:ascii="Segoe UI" w:hAnsi="Segoe UI" w:eastAsia="Segoe UI" w:cs="Segoe UI"/>
      <w:b/>
      <w:bCs/>
      <w:color w:val="1A365D"/>
      <w:sz w:val="40"/>
      <w:szCs w:val="40"/>
    </w:rPr>
  </w:style>
  <w:style w:type="paragraph" w:styleId="Heading2">
    <w:name w:val="Heading 2"/>
    <w:basedOn w:val="Heading"/>
    <w:qFormat/>
    <w:pPr>
      <w:spacing w:before="360" w:after="200"/>
    </w:pPr>
    <w:rPr>
      <w:rFonts w:ascii="Segoe UI" w:hAnsi="Segoe UI" w:eastAsia="Segoe UI" w:cs="Segoe UI"/>
      <w:b/>
      <w:bCs/>
      <w:color w:val="2C5282"/>
      <w:sz w:val="34"/>
      <w:szCs w:val="34"/>
    </w:rPr>
  </w:style>
  <w:style w:type="paragraph" w:styleId="Heading3">
    <w:name w:val="Heading 3"/>
    <w:basedOn w:val="Heading"/>
    <w:qFormat/>
    <w:pPr>
      <w:spacing w:before="280" w:after="160"/>
    </w:pPr>
    <w:rPr>
      <w:rFonts w:ascii="Segoe UI" w:hAnsi="Segoe UI" w:eastAsia="Segoe UI" w:cs="Segoe UI"/>
      <w:b/>
      <w:bCs/>
      <w:color w:val="2D3748"/>
      <w:sz w:val="30"/>
      <w:szCs w:val="30"/>
    </w:rPr>
  </w:style>
  <w:style w:type="paragraph" w:styleId="Heading4">
    <w:name w:val="Heading 4"/>
    <w:basedOn w:val="Heading"/>
    <w:qFormat/>
    <w:pPr>
      <w:spacing w:before="240" w:after="120"/>
    </w:pPr>
    <w:rPr>
      <w:rFonts w:ascii="Segoe UI" w:hAnsi="Segoe UI" w:eastAsia="Segoe UI" w:cs="Segoe UI"/>
      <w:b/>
      <w:bCs/>
      <w:color w:val="2D3748"/>
      <w:sz w:val="26"/>
      <w:szCs w:val="26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2563EB"/>
      <w:u w:val="single" w:color="2563EB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 w:val="false"/>
    </w:pPr>
    <w:rPr>
      <w:rFonts w:ascii="Georgia" w:hAnsi="Georgia" w:eastAsia="Georgia" w:cs="Georgia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 w:val="false"/>
    </w:pPr>
    <w:rPr>
      <w:rFonts w:ascii="Georgia" w:hAnsi="Georgia" w:eastAsia="Georgia" w:cs="Georgia"/>
      <w:color w:val="auto"/>
      <w:kern w:val="0"/>
      <w:sz w:val="24"/>
      <w:szCs w:val="24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Quote">
    <w:name w:val="Quote"/>
    <w:qFormat/>
    <w:pPr>
      <w:widowControl w:val="false"/>
      <w:spacing w:lineRule="exact" w:line="360" w:before="240" w:after="240"/>
      <w:ind w:left="720" w:hanging="0"/>
    </w:pPr>
    <w:rPr>
      <w:rFonts w:ascii="Georgia" w:hAnsi="Georgia" w:eastAsia="Georgia" w:cs="Georgia"/>
      <w:i/>
      <w:iCs/>
      <w:color w:val="4A5568"/>
      <w:kern w:val="0"/>
      <w:sz w:val="24"/>
      <w:szCs w:val="24"/>
      <w:lang w:val="en-US" w:eastAsia="zh-CN" w:bidi="hi-IN"/>
    </w:rPr>
  </w:style>
  <w:style w:type="paragraph" w:styleId="Code">
    <w:name w:val="Code"/>
    <w:qFormat/>
    <w:pPr>
      <w:widowControl w:val="false"/>
      <w:spacing w:before="240" w:after="240"/>
      <w:ind w:left="360" w:hanging="0"/>
    </w:pPr>
    <w:rPr>
      <w:rFonts w:ascii="Consolas" w:hAnsi="Consolas" w:eastAsia="Consolas" w:cs="Consolas"/>
      <w:color w:val="1A202C"/>
      <w:kern w:val="0"/>
      <w:sz w:val="22"/>
      <w:szCs w:val="22"/>
      <w:lang w:val="en-US" w:eastAsia="zh-CN" w:bidi="hi-IN"/>
    </w:rPr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LibreOffice/6.0.7.3$Linux_X86_64 LibreOffice_project/00m0$Build-3</Application>
  <Pages>13</Pages>
  <Words>1009</Words>
  <Characters>6786</Characters>
  <CharactersWithSpaces>7597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2026-07-10T07:05:42Z</dcterms:created>
  <dc:creator>Markdown to Word Converter</dc:creator>
  <dc:description>Document created with Markdown to Word Converter</dc:description>
  <dc:language>en-US</dc:language>
  <cp:lastModifiedBy/>
  <dcterms:modified xsi:type="dcterms:W3CDTF">2026-07-16T18:15:15Z</dcterms:modified>
  <cp:revision>2</cp:revision>
  <dc:subject/>
  <dc:title>Markdown Document</dc:title>
</cp:coreProperties>
</file>