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Прототипы посадочных страниц для A/B-тестирования</w:t>
      </w:r>
    </w:p>
    <w:p>
      <w:r>
        <w:rPr>
          <w:b/>
        </w:rPr>
        <w:t>Заказчик:</w:t>
      </w:r>
      <w:r>
        <w:t xml:space="preserve"> АО «Медицина» (клиника академика Ройтберга)</w:t>
      </w:r>
    </w:p>
    <w:p>
      <w:r>
        <w:rPr>
          <w:b/>
        </w:rPr>
        <w:t>Тема страницы:</w:t>
      </w:r>
      <w:r>
        <w:t xml:space="preserve"> Эндопротезирование суставов</w:t>
      </w:r>
    </w:p>
    <w:p>
      <w:r>
        <w:rPr>
          <w:b/>
        </w:rPr>
        <w:t>Исходная страница:</w:t>
      </w:r>
      <w:r>
        <w:t xml:space="preserve"> https://www.medicina.ru/diagnostika-i-lechenie/jendoprotezirovanie/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2"/>
      </w:pPr>
      <w:r>
        <w:t>Что в пакете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4873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Что внутри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Прототипы в Figma (ссылка ниже)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6 прототипов: версии A, B, C × десктоп 1440 px и мобайл 390 px. Плюс фрейм с картой микроразметки и обложка с составом файла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Прототипы_A_B_C.pdf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Те же макеты статичной выгрузкой — на случай, если Figma не открывается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Тексты_A_B_C.docx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Полные тексты всех трёх версий: заголовки с альтернативами и обоснованием, тексты блоков, FAQ, дисклеймеры, сводка отличий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Смета_AB_тестирование_MEDICINA_RU.xlsx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Детальная смета: этапы, состав работ, сроки, стоимость, вехи, допущения</w:t>
            </w:r>
          </w:p>
        </w:tc>
      </w:tr>
    </w:tbl>
    <w:p>
      <w:pPr>
        <w:spacing w:after="80"/>
      </w:pPr>
    </w:p>
    <w:p>
      <w:r>
        <w:rPr>
          <w:b/>
        </w:rPr>
        <w:t>Прототипы в Figma:</w:t>
      </w:r>
      <w:r>
        <w:t xml:space="preserve"> ссылка приложена отдельно в письме. Файл открыт на комментирование —</w:t>
      </w:r>
    </w:p>
    <w:p>
      <w:r>
        <w:t>замечания можно оставлять прямо на макете.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2"/>
      </w:pPr>
      <w:r>
        <w:t>Три версии страницы</w:t>
      </w:r>
    </w:p>
    <w:p>
      <w:r>
        <w:t>Версии различаются не оформлением, а конструкцией: у каждой своё целевое действие,</w:t>
      </w:r>
    </w:p>
    <w:p>
      <w:r>
        <w:t>и под него перестроен состав и порядок блоков.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A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</w:t>
            </w:r>
          </w:p>
        </w:tc>
        <w:tc>
          <w:tcPr>
            <w:tcW w:type="dxa" w:w="2436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Целевое действие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Звонок в клинику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Запись на приём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Получение чек-листа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Первый экран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Телефон и доводы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Форма записи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Форма email и превью документа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Уникальный блок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«О чём можно спросить по телефону» с явным ограничением по телефонным консультациям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Путь пациента из 4 шагов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«Что внутри чек-листа», «Почему подготовка важна»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Блок врачей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Ниже середины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Высоко, третьим блоком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Внизу, компактно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Тон FAQ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Организационный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Снятие барьеров к записи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Работа с тревогой</w:t>
            </w:r>
          </w:p>
        </w:tc>
      </w:tr>
    </w:tbl>
    <w:p>
      <w:pPr>
        <w:spacing w:after="80"/>
      </w:pPr>
    </w:p>
    <w:p>
      <w:r>
        <w:t>Каждая версия адаптивна: отдельные макеты для десктопа и мобильных устройств.</w:t>
      </w:r>
    </w:p>
    <w:p>
      <w:r>
        <w:t>На мобильных добавлена закреплённая панель с основным действием.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2"/>
      </w:pPr>
      <w:r>
        <w:t>Содержание и фактура</w:t>
      </w:r>
    </w:p>
    <w:p>
      <w:r>
        <w:t>Вся фактура на страницах — цены, стаж врачей, условия по ОМС, перечень документов,</w:t>
      </w:r>
    </w:p>
    <w:p>
      <w:r>
        <w:t>номер лицензии, режим работы — взята с текущей страницы medicina.ru. Ничего не додумано</w:t>
      </w:r>
    </w:p>
    <w:p>
      <w:r>
        <w:t>и не округлено.</w:t>
      </w:r>
    </w:p>
    <w:p>
      <w:r>
        <w:t>На всех трёх версиях размещены обязательные предупреждения: о наличии противопоказаний</w:t>
      </w:r>
    </w:p>
    <w:p>
      <w:r>
        <w:t>и необходимости консультации специалиста (ФЗ «О рекламе», ст. 24) и о недопустимости</w:t>
      </w:r>
    </w:p>
    <w:p>
      <w:r>
        <w:t>самодиагностики.</w:t>
      </w:r>
    </w:p>
    <w:p>
      <w:r>
        <w:t>Отзывы в прототипах помечены как демонстрационные — реальные тексты и фотографии</w:t>
      </w:r>
    </w:p>
    <w:p>
      <w:r>
        <w:t>предоставляет клиника.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2"/>
      </w:pPr>
      <w:r>
        <w:t>Микроразметка</w:t>
      </w:r>
    </w:p>
    <w:p>
      <w:r>
        <w:t xml:space="preserve">Внедряются обязательные по заданию типы: </w:t>
      </w:r>
      <w:r>
        <w:rPr>
          <w:rFonts w:ascii="Consolas" w:hAnsi="Consolas"/>
          <w:color w:val="0F6CB6"/>
          <w:sz w:val="19"/>
        </w:rPr>
        <w:t>MedicalOrganization</w:t>
      </w:r>
      <w:r>
        <w:t xml:space="preserve">, </w:t>
      </w:r>
      <w:r>
        <w:rPr>
          <w:rFonts w:ascii="Consolas" w:hAnsi="Consolas"/>
          <w:color w:val="0F6CB6"/>
          <w:sz w:val="19"/>
        </w:rPr>
        <w:t>MedicalWebPage</w:t>
      </w:r>
      <w:r>
        <w:t>,</w:t>
      </w:r>
    </w:p>
    <w:p>
      <w:r>
        <w:rPr>
          <w:rFonts w:ascii="Consolas" w:hAnsi="Consolas"/>
          <w:color w:val="0F6CB6"/>
          <w:sz w:val="19"/>
        </w:rPr>
        <w:t>MedicalProcedure</w:t>
      </w:r>
      <w:r>
        <w:t xml:space="preserve">, </w:t>
      </w:r>
      <w:r>
        <w:rPr>
          <w:rFonts w:ascii="Consolas" w:hAnsi="Consolas"/>
          <w:color w:val="0F6CB6"/>
          <w:sz w:val="19"/>
        </w:rPr>
        <w:t>BreadcrumbList</w:t>
      </w:r>
      <w:r>
        <w:t xml:space="preserve">. Сверх требований добавлены </w:t>
      </w:r>
      <w:r>
        <w:rPr>
          <w:rFonts w:ascii="Consolas" w:hAnsi="Consolas"/>
          <w:color w:val="0F6CB6"/>
          <w:sz w:val="19"/>
        </w:rPr>
        <w:t>FAQPage</w:t>
      </w:r>
      <w:r>
        <w:t xml:space="preserve"> — даёт</w:t>
      </w:r>
    </w:p>
    <w:p>
      <w:r>
        <w:t xml:space="preserve">расширенный сниппет в выдаче, и </w:t>
      </w:r>
      <w:r>
        <w:rPr>
          <w:rFonts w:ascii="Consolas" w:hAnsi="Consolas"/>
          <w:color w:val="0F6CB6"/>
          <w:sz w:val="19"/>
        </w:rPr>
        <w:t>Physician</w:t>
      </w:r>
      <w:r>
        <w:t xml:space="preserve"> — для блока врачей.</w:t>
      </w:r>
    </w:p>
    <w:p>
      <w:r>
        <w:t>В файле Figma есть отдельный фрейм «Микроразметка JSON-LD»: карта внедрения по блокам,</w:t>
      </w:r>
    </w:p>
    <w:p>
      <w:r>
        <w:t>готовые примеры кода по каждому типу и порядок валидации. Каждый блок в макетах подписан</w:t>
      </w:r>
    </w:p>
    <w:p>
      <w:r>
        <w:t>типом разметки, который в него внедряется.</w:t>
      </w:r>
    </w:p>
    <w:p>
      <w:r>
        <w:t xml:space="preserve">Отдельно зафиксировано, чего в разметке быть не должно: </w:t>
      </w:r>
      <w:r>
        <w:rPr>
          <w:rFonts w:ascii="Consolas" w:hAnsi="Consolas"/>
          <w:color w:val="0F6CB6"/>
          <w:sz w:val="19"/>
        </w:rPr>
        <w:t>Review</w:t>
      </w:r>
      <w:r>
        <w:t xml:space="preserve"> и </w:t>
      </w:r>
      <w:r>
        <w:rPr>
          <w:rFonts w:ascii="Consolas" w:hAnsi="Consolas"/>
          <w:color w:val="0F6CB6"/>
          <w:sz w:val="19"/>
        </w:rPr>
        <w:t>AggregateRating</w:t>
      </w:r>
    </w:p>
    <w:p>
      <w:r>
        <w:t xml:space="preserve">до появления реальных отзывов, </w:t>
      </w:r>
      <w:r>
        <w:rPr>
          <w:rFonts w:ascii="Consolas" w:hAnsi="Consolas"/>
          <w:color w:val="0F6CB6"/>
          <w:sz w:val="19"/>
        </w:rPr>
        <w:t>Offer</w:t>
      </w:r>
      <w:r>
        <w:t xml:space="preserve"> — поскольку цена операции указана диапазоном.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2"/>
      </w:pPr>
      <w:r>
        <w:t>Что требуется от клиники</w:t>
      </w:r>
    </w:p>
    <w:p>
      <w:pPr>
        <w:pStyle w:val="ListNumber"/>
        <w:spacing w:after="60"/>
      </w:pPr>
      <w:r>
        <w:rPr>
          <w:b/>
        </w:rPr>
        <w:t>Протокол реабилитации.</w:t>
      </w:r>
      <w:r>
        <w:t xml:space="preserve"> На текущей странице нет графика восстановления по неделям. Если он есть — блок расширяется во всех трёх версиях.</w:t>
      </w:r>
    </w:p>
    <w:p>
      <w:pPr>
        <w:pStyle w:val="ListNumber"/>
        <w:spacing w:after="60"/>
      </w:pPr>
      <w:r>
        <w:rPr>
          <w:b/>
        </w:rPr>
        <w:t>Содержание чек-листа для версии C.</w:t>
      </w:r>
      <w:r>
        <w:t xml:space="preserve"> Состав из 7 пунктов собран из фактуры сайта и требует подтверждения профильным врачом.</w:t>
      </w:r>
    </w:p>
    <w:p>
      <w:pPr>
        <w:pStyle w:val="ListNumber"/>
        <w:spacing w:after="60"/>
      </w:pPr>
      <w:r>
        <w:rPr>
          <w:b/>
        </w:rPr>
        <w:t>Отзывы пациентов</w:t>
      </w:r>
      <w:r>
        <w:t xml:space="preserve"> — реальные тексты с письменным согласием на публикацию.</w:t>
      </w:r>
    </w:p>
    <w:p>
      <w:pPr>
        <w:pStyle w:val="ListNumber"/>
        <w:spacing w:after="60"/>
      </w:pPr>
      <w:r>
        <w:rPr>
          <w:b/>
        </w:rPr>
        <w:t>Фотографии врачей.</w:t>
      </w:r>
      <w:r>
        <w:t xml:space="preserve"> В прототипы подставлены фотографии с текущего сайта; требуется подтверждение, что их можно использовать на новых страницах.</w:t>
      </w:r>
    </w:p>
    <w:p>
      <w:pPr>
        <w:pStyle w:val="ListNumber"/>
        <w:spacing w:after="60"/>
      </w:pPr>
      <w:r>
        <w:rPr>
          <w:b/>
        </w:rPr>
        <w:t>Снимки «до / после».</w:t>
      </w:r>
      <w:r>
        <w:t xml:space="preserve"> Взяты с текущей страницы. Для размещения нужно письменное согласие пациента.</w:t>
      </w:r>
    </w:p>
    <w:p>
      <w:pPr>
        <w:pStyle w:val="ListNumber"/>
        <w:spacing w:after="60"/>
      </w:pPr>
      <w:r>
        <w:rPr>
          <w:b/>
        </w:rPr>
        <w:t>Фоновое фото первого экрана</w:t>
      </w:r>
      <w:r>
        <w:t xml:space="preserve"> — операционная, врач за работой или интерьер клиники. Место в макетах зарезервировано.</w:t>
      </w:r>
    </w:p>
    <w:p>
      <w:pPr>
        <w:pStyle w:val="ListNumber"/>
        <w:spacing w:after="60"/>
      </w:pPr>
      <w:r>
        <w:rPr>
          <w:b/>
        </w:rPr>
        <w:t>Приёмник заявок</w:t>
      </w:r>
      <w:r>
        <w:t xml:space="preserve"> из форм версий B и C — МИС, CRM или почта. От этого зависит объём этапа разработки.</w:t>
      </w:r>
    </w:p>
    <w:p>
      <w:pPr>
        <w:pStyle w:val="ListNumber"/>
        <w:spacing w:after="60"/>
      </w:pPr>
      <w:r>
        <w:rPr>
          <w:b/>
        </w:rPr>
        <w:t>Сроки ожидания операции по ОМС.</w:t>
      </w:r>
      <w:r>
        <w:t xml:space="preserve"> В текстах намеренно не указаны, потому что меняются. Если есть актуальная цифра — это сильный аргумент на странице.</w:t>
      </w:r>
    </w:p>
    <w:p>
      <w:pPr>
        <w:spacing w:before="80" w:after="200"/>
        <w:pBdr>
          <w:bottom w:val="single" w:sz="6" w:color="DDE3EA"/>
        </w:pBdr>
      </w:pPr>
    </w:p>
    <w:p>
      <w:pPr>
        <w:pStyle w:val="Heading2"/>
      </w:pPr>
      <w:r>
        <w:t>Сроки и стоимость</w:t>
      </w:r>
    </w:p>
    <w:p>
      <w:r>
        <w:t>Детальный расчёт — в приложенной смете. Работы разбиты на три вехи: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Веха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Этапы</w:t>
            </w:r>
          </w:p>
        </w:tc>
        <w:tc>
          <w:tcPr>
            <w:tcW w:type="dxa" w:w="3249"/>
            <w:shd w:val="clear" w:fill="F1F4F8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I. Прототипы и тексты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Аналитика, копирайтинг, прототипирование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Прототипы с полными текстами и примерами разметки. Самодостаточный результат: на этой вехе можно остановиться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II. Дизайн и разработка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Макеты, вёрстка, backend, микроразметка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Готовые к публикации страницы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III. Запуск и аналитика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Размещение, тестирование, сопровождение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Запущенный A/B-тест с настроенными целями и отчёт с рекомендацией по версии-победителю</w:t>
            </w:r>
          </w:p>
        </w:tc>
      </w:tr>
    </w:tbl>
    <w:p>
      <w:pPr>
        <w:spacing w:after="80"/>
      </w:pPr>
    </w:p>
    <w:p>
      <w:r>
        <w:t>Срок до запуска теста — 15 рабочих дней, далее 4 недели мониторинга с промежуточным</w:t>
      </w:r>
    </w:p>
    <w:p>
      <w:r>
        <w:t>срезом на второй неделе.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Calibri" w:cs="Calibri"/>
      <w:color w:val="2431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CB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4313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4313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