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00"/>
        <w:rPr/>
      </w:pPr>
      <w:r>
        <w:rPr>
          <w:rFonts w:eastAsia="Tahoma" w:cs="Tahoma"/>
          <w:b/>
          <w:bCs/>
          <w:color w:val="00504E"/>
          <w:sz w:val="52"/>
          <w:szCs w:val="52"/>
        </w:rPr>
        <w:t>8.1.1. Экспресс-аудит объектов мониторинга</w:t>
      </w:r>
    </w:p>
    <w:p>
      <w:pPr>
        <w:pStyle w:val="Normal"/>
        <w:spacing w:before="0" w:after="160"/>
        <w:rPr/>
      </w:pPr>
      <w:r>
        <w:rPr>
          <w:rFonts w:eastAsia="Tahoma" w:cs="Tahoma"/>
          <w:sz w:val="24"/>
          <w:szCs w:val="24"/>
        </w:rPr>
        <w:t>Ниже представлен обновлённый экспресс-аудит всех объектов из п. 1.2 ТЗ, выполненный по состоянию на август 2026 года.</w:t>
      </w:r>
    </w:p>
    <w:p>
      <w:pPr>
        <w:pStyle w:val="Normal"/>
        <w:spacing w:before="0" w:after="160"/>
        <w:rPr/>
      </w:pPr>
      <w:r>
        <w:rPr>
          <w:rFonts w:eastAsia="Tahoma" w:cs="Tahoma"/>
          <w:sz w:val="24"/>
          <w:szCs w:val="24"/>
        </w:rPr>
        <w:t>Оценка произведена по следующим критериям:</w:t>
      </w:r>
    </w:p>
    <w:p>
      <w:pPr>
        <w:pStyle w:val="ListParagraph"/>
        <w:numPr>
          <w:ilvl w:val="0"/>
          <w:numId w:val="3"/>
        </w:numPr>
        <w:spacing w:before="0" w:after="100"/>
        <w:ind w:hanging="360" w:start="720"/>
        <w:rPr/>
      </w:pPr>
      <w:r>
        <w:rPr>
          <w:rFonts w:eastAsia="Tahoma" w:cs="Tahoma"/>
          <w:b/>
          <w:bCs/>
          <w:sz w:val="24"/>
          <w:szCs w:val="24"/>
        </w:rPr>
        <w:t>Высокий риск</w:t>
      </w:r>
      <w:r>
        <w:rPr>
          <w:rFonts w:eastAsia="Tahoma" w:cs="Tahoma"/>
          <w:sz w:val="24"/>
          <w:szCs w:val="24"/>
        </w:rPr>
        <w:t xml:space="preserve"> – в ТОП-10 поисковой выдачи (Яндекс и/или Google) по ключевым запросам (брендовым, персональным, репутационным) присутствуют негативные материалы (скандалы, судебные иски, аварии, уголовные дела, критические статьи федеральных СМИ)</w:t>
      </w:r>
    </w:p>
    <w:p>
      <w:pPr>
        <w:pStyle w:val="ListParagraph"/>
        <w:numPr>
          <w:ilvl w:val="0"/>
          <w:numId w:val="1"/>
        </w:numPr>
        <w:spacing w:before="0" w:after="100"/>
        <w:ind w:hanging="360" w:start="720"/>
        <w:rPr/>
      </w:pPr>
      <w:r>
        <w:rPr>
          <w:rFonts w:eastAsia="Tahoma" w:cs="Tahoma"/>
          <w:b/>
          <w:bCs/>
          <w:sz w:val="24"/>
          <w:szCs w:val="24"/>
        </w:rPr>
        <w:t>Средний риск</w:t>
      </w:r>
      <w:r>
        <w:rPr>
          <w:rFonts w:eastAsia="Tahoma" w:cs="Tahoma"/>
          <w:sz w:val="24"/>
          <w:szCs w:val="24"/>
        </w:rPr>
        <w:t xml:space="preserve"> – негативные материалы в ТОП-10 присутствуют фрагментарно (отдельные публикации с низким охватом, региональные СМИ) либо негатив есть в ТОП-20, но не в ТОП-10</w:t>
      </w:r>
    </w:p>
    <w:p>
      <w:pPr>
        <w:pStyle w:val="ListParagraph"/>
        <w:numPr>
          <w:ilvl w:val="0"/>
          <w:numId w:val="1"/>
        </w:numPr>
        <w:spacing w:before="0" w:after="100"/>
        <w:ind w:hanging="360" w:start="720"/>
        <w:rPr/>
      </w:pPr>
      <w:r>
        <w:rPr>
          <w:rFonts w:eastAsia="Tahoma" w:cs="Tahoma"/>
          <w:b/>
          <w:bCs/>
          <w:sz w:val="24"/>
          <w:szCs w:val="24"/>
        </w:rPr>
        <w:t>Низкий риск</w:t>
      </w:r>
      <w:r>
        <w:rPr>
          <w:rFonts w:eastAsia="Tahoma" w:cs="Tahoma"/>
          <w:sz w:val="24"/>
          <w:szCs w:val="24"/>
        </w:rPr>
        <w:t xml:space="preserve"> – в ТОП-10 негативных материалов не обнаружено, преобладают нейтральные и позитивные публикации, справочная информация</w:t>
      </w:r>
    </w:p>
    <w:p>
      <w:pPr>
        <w:pStyle w:val="Normal"/>
        <w:spacing w:before="240" w:after="160"/>
        <w:rPr/>
      </w:pPr>
      <w:r>
        <w:rPr>
          <w:rFonts w:eastAsia="Tahoma" w:cs="Tahoma"/>
          <w:b/>
          <w:bCs/>
          <w:color w:val="0F4761"/>
          <w:sz w:val="32"/>
          <w:szCs w:val="32"/>
        </w:rPr>
        <w:t>Экспресс-аудит объектов мониторинга</w:t>
      </w:r>
    </w:p>
    <w:tbl>
      <w:tblPr>
        <w:tblW w:w="884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450"/>
        <w:gridCol w:w="2200"/>
        <w:gridCol w:w="1300"/>
        <w:gridCol w:w="4890"/>
      </w:tblGrid>
      <w:tr>
        <w:trPr>
          <w:tblHeader w:val="true"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9E2E1" w:val="clear"/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9E2E1" w:val="clear"/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Объект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9E2E1" w:val="clear"/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Уровень риска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9E2E1" w:val="clear"/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Обоснование (наличие негатива в ТОП-10)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Эн+ (En+ Group)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В ТОП-10 присутствуют новости о скандале с назначением Шипиловой, санкционных рисках ЕС, судебном конфликте с BitRiver, невыплате дивидендов («Коммерсантъ», «Ведомости», Forbes)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РУСАЛ / Русал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В ТОП-10 – иски Росприроднадзора, убыток $455 млн за 2025 год, антимонопольное дело ФАС (июль 2026), риск запрета ЕС на импорт алюминия («Интерфакс», РБК, Forbes)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Дерипаска Олег Владимирович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В ТОП-10 – санкционные статьи, судебные иски к СМИ, обсуждение разморозки активов, упоминания в контексте «олигархов» (Forbes, Reuters, «Новая газета»)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Никитин Евгений Викторович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Негатив присутствует в связи с антимонопольным делом ФАС против «Русала» (июль 2026), но сам Никитин прямо не упоминается в заголовках ТОП-10; риск опосредованный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Манн Виктор Христьянович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В ТОП-10 негативных материалов не обнаружено, преобладают биографические и справочные статьи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Андрюшин Роман Евгеньевич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Негатив в ТОП-10 отсутствует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Альбрехт Наталья Александровна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Негатив не выявлен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Безденежных Елена Степановна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Негатив отсутствует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Дод Евгений Вячеславович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В ТОП-10 доминируют материалы об уголовном деле и аресте (2016–2020), несмотря на прекращение дела. Запросы «Дод арест», «Дод уголовное дело» дают негативные подсказки и ссылки на Forbes, «Коммерсантъ», Lenta.ru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Полетаева (Шипилова) Елена Владиславовна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В ТОП-10 – скандальные статьи о назначении, обвинениях в коррупции, связи с иноагентами (федеральные СМИ, Telegram-каналы)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«Иркутскэнергосбыт»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Негативных материалов в ТОП-10 не обнаружено, преимущественно справочная информация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«Эн+ Генерация»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Негатив не выявлен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«Эн+ Гидро»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В ТОП-10 есть упоминания о скандале вокруг Шипиловой, затрагивающие репутацию гендиректора Сергея Кузнецова, но прямого негатива по самой компании мало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«Эн+ Уголь»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Негативных публикаций в ТОП-10 нет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«Разрезуголь» + Зашуланское месторождение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В ТОП-10 – новости о требованиях прокуратуры построить очистные, загрязнении рек бассейна Байкала, вырубке лесов (региональные СМИ)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«Байкальская энергетическая компания»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Судебные иски по загрязнению земель, входит в число основных загрязнителей Братска (43% выбросов) – упоминания в региональных СМИ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17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Ново-Иркутская ТЭЦ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В ТОП-10 – статьи о загрязнении реки Кая молибденом с превышением ПДК в 3+ раза, аварии на пульпопроводе, судебные иски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18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ТЭЦ-6 / Братская ТЭЦ-6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Негатив отсутствует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19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ТЭЦ-9 / Ангарская ТЭЦ-9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Крупная авария 07.12.2025 – без тепла 167 тыс. жителей, 1546 домов, 121 соцобъект. Материалы об аварии доминируют в ТОП-10, а также в ИИ-подсказках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20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ТЭЦ-10 / Ангарская ТЭЦ-10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Негатив не выявлен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21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«Иркутская электросетевая компания»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Преимущественно позитивный фон (лесовосстановление, экологичные трансформаторы)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22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Забайкальская ТЭС / ООО «Забайкальская ГРЭС»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Негатив отсутствует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23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«Иркутскэнерго» (новый объект)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В ТОП-10 негативных материалов не обнаружено, преобладают справочные и деловые публикации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24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Красноярская ГЭС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Входит в программу «Новая энергия», рисков не выявлено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25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Иркутская ГЭС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В ТОП-10 – постоянные упоминания проблемы регулирования уровня озера Байкал (экологический и социальный конфликт)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26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Братская ГЭС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Позитивный фон (модернизация, Ростехнадзор)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27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Усть-Илимская ГЭС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Входит в программу «Новая энергия»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28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Сегозерская МГЭС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Проектная стадия, экологическая экспертиза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29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Богучанская ГЭС / БоГЭС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Позитивный фон (экополитика, 17,2 млрд кВт·ч чистой энергии)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30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Богучанский алюминиевый завод / БоАЗ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Нарушения промбезопасности, судебное решение, но есть позитив («Открытый завод»)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31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Братский алюминиевый завод / БрАЗ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Активная экологическая реконструкция, аварий не зафиксировано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32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Иркутский алюминиевый завод / ИркАЗ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Уголовное дело по загрязнению почвы, сбросы нагрузки без уведомления – статьи в региональных и федеральных СМИ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33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Кандалакшский алюминиевый завод / КАЗ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140 нарушений требований в сфере электроэнергетики – упоминания в отраслевых СМИ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34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Хакасский алюминиевый завод / ХАЗ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Сокращение производства из-за ЧП, сброс нагрузки – новости в региональных СМИ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35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Красноярский алюминиевый завод / КрАЗ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Активная экомодернизация, снижение выбросов на 35%, но ранее были иски – сейчас в ТОП-10 негатива нет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36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Новокузнецкий алюминиевый завод / НкАЗ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Успешная экопрограмма, снижение выбросов на 20%, инвестиции 6 млрд руб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37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Саяногорский алюминиевый завод / САЗ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Штраф 4 млн руб. за превышение выбросов, нарушения саннорм – статьи в региональных СМИ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38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Волгоградский алюминиевый завод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Позитивный фон: экоразрешение до 2031, рост переработки на 50%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39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Надвоицкий алюминиевый завод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Закрыт с 2018, проблема отходов, негативные подсказки «закрыт»/«отходы» – но в ТОП-10 в основном нейтральные справочные статьи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40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Ачинский глиноземный комбинат / АГК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Ростехнадзор потребовал остановить производство – новости в федеральных СМИ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41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Пикалевский глиноземный завод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Негатив не выявлен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42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Бокситогорский глиноземный завод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Загрязнение рек (алюминий, нефтепродукты), протесты жителей – региональные СМИ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43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Уральский алюминиевый завод / УАЗ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Позитивный фон: экомодернизация, жители подтвердили безопасность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44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Богословский алюминиевый завод / БАЗ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Экомодернизация за 35 млрд руб., но был штраф за скрытые выбросы – сейчас в ТОП-10 нет негатива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45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Боксит Тимана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Позитивный фон: экосистема реки Вымь в норме, лесовосстановление 215 га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46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Североуральский бокситовый рудник / СУБР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17 нарушений экологических требований, сброс сточных вод – региональные СМИ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47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Кия-Шалтырский нефелиновый рудник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Суд приостановил работу из-за угрозы жизни – новости в региональных СМИ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48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Кия-Шалтырское месторождение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Аналогично руднику – риски промбезопасности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49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Уральская фольга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20 нарушений промбезопасности, нарушения по выбросам – отраслевые СМИ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50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«Кремний» + РУСАЛ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Приостановка производства с 2026 – новости в отраслевых СМИ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51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Кремний Урал + РУСАЛ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Аналогично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52</w:t>
            </w:r>
          </w:p>
        </w:tc>
        <w:tc>
          <w:tcPr>
            <w:tcW w:w="22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СКАД</w:t>
            </w:r>
          </w:p>
        </w:tc>
        <w:tc>
          <w:tcPr>
            <w:tcW w:w="1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8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Данных недостаточно для оценки, негатив не выявлен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p>
      <w:pPr>
        <w:pStyle w:val="Normal"/>
        <w:spacing w:before="240" w:after="160"/>
        <w:rPr/>
      </w:pPr>
      <w:r>
        <w:rPr>
          <w:rFonts w:eastAsia="Tahoma" w:cs="Tahoma"/>
          <w:b/>
          <w:bCs/>
          <w:color w:val="0F4761"/>
          <w:sz w:val="32"/>
          <w:szCs w:val="32"/>
        </w:rPr>
        <w:t>Группировка по уровню риска</w:t>
      </w:r>
    </w:p>
    <w:tbl>
      <w:tblPr>
        <w:tblW w:w="884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399"/>
        <w:gridCol w:w="4494"/>
        <w:gridCol w:w="2947"/>
      </w:tblGrid>
      <w:tr>
        <w:trPr>
          <w:tblHeader w:val="true"/>
        </w:trPr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9E2E1" w:val="clear"/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Уровень риска</w:t>
            </w:r>
          </w:p>
        </w:tc>
        <w:tc>
          <w:tcPr>
            <w:tcW w:w="449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9E2E1" w:val="clear"/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Объекты</w:t>
            </w:r>
          </w:p>
        </w:tc>
        <w:tc>
          <w:tcPr>
            <w:tcW w:w="294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9E2E1" w:val="clear"/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Количество</w:t>
            </w:r>
          </w:p>
        </w:tc>
      </w:tr>
      <w:tr>
        <w:trPr>
          <w:cantSplit/>
        </w:trPr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49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Эн+, РУСАЛ, Дерипаска, Дод, Шипилова, ТЭЦ-9, Ново-Иркутская ТЭЦ, ИркАЗ, САЗ, АГК</w:t>
            </w:r>
          </w:p>
        </w:tc>
        <w:tc>
          <w:tcPr>
            <w:tcW w:w="294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10</w:t>
            </w:r>
          </w:p>
        </w:tc>
      </w:tr>
      <w:tr>
        <w:trPr>
          <w:cantSplit/>
        </w:trPr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49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Никитин, Эн+ Гидро, Разрезуголь, БЭК, Иркутская ГЭС, БоАЗ, КАЗ, ХАЗ, НАЗ, Бокситогорский ГЛЗ, СУБР, Кия-Шалтырский, Кремний, Уральская фольга, Кремний Урал</w:t>
            </w:r>
          </w:p>
        </w:tc>
        <w:tc>
          <w:tcPr>
            <w:tcW w:w="294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15</w:t>
            </w:r>
          </w:p>
        </w:tc>
      </w:tr>
      <w:tr>
        <w:trPr>
          <w:cantSplit/>
        </w:trPr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/>
                <w:bCs/>
                <w:sz w:val="20"/>
                <w:szCs w:val="20"/>
              </w:rPr>
              <w:t>Низкий</w:t>
            </w:r>
          </w:p>
        </w:tc>
        <w:tc>
          <w:tcPr>
            <w:tcW w:w="449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Все остальные объекты (включая новый «Иркутскэнерго»)</w:t>
            </w:r>
          </w:p>
        </w:tc>
        <w:tc>
          <w:tcPr>
            <w:tcW w:w="294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ahoma" w:cs="Tahoma"/>
                <w:b w:val="false"/>
                <w:bCs w:val="false"/>
                <w:sz w:val="20"/>
                <w:szCs w:val="20"/>
              </w:rPr>
              <w:t>27</w:t>
            </w:r>
          </w:p>
        </w:tc>
      </w:tr>
    </w:tbl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4457065</wp:posOffset>
          </wp:positionH>
          <wp:positionV relativeFrom="paragraph">
            <wp:posOffset>-405130</wp:posOffset>
          </wp:positionV>
          <wp:extent cx="889000" cy="568325"/>
          <wp:effectExtent l="0" t="0" r="0" b="0"/>
          <wp:wrapNone/>
          <wp:docPr id="1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568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1" behindDoc="1" locked="0" layoutInCell="1" allowOverlap="1">
          <wp:simplePos x="0" y="0"/>
          <wp:positionH relativeFrom="column">
            <wp:posOffset>5326380</wp:posOffset>
          </wp:positionH>
          <wp:positionV relativeFrom="paragraph">
            <wp:posOffset>-341630</wp:posOffset>
          </wp:positionV>
          <wp:extent cx="887730" cy="477520"/>
          <wp:effectExtent l="0" t="0" r="0" b="0"/>
          <wp:wrapNone/>
          <wp:docPr id="2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6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87730" cy="477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16" behindDoc="1" locked="0" layoutInCell="0" allowOverlap="1">
          <wp:simplePos x="0" y="0"/>
          <wp:positionH relativeFrom="leftMargin">
            <wp:align>right</wp:align>
          </wp:positionH>
          <wp:positionV relativeFrom="paragraph">
            <wp:posOffset>-521335</wp:posOffset>
          </wp:positionV>
          <wp:extent cx="920115" cy="920115"/>
          <wp:effectExtent l="0" t="0" r="0" b="0"/>
          <wp:wrapTopAndBottom/>
          <wp:docPr id="3" name="белый.png" descr="белый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белый.png" descr="белый.png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920115" cy="920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4457065</wp:posOffset>
          </wp:positionH>
          <wp:positionV relativeFrom="paragraph">
            <wp:posOffset>-405130</wp:posOffset>
          </wp:positionV>
          <wp:extent cx="889000" cy="568325"/>
          <wp:effectExtent l="0" t="0" r="0" b="0"/>
          <wp:wrapNone/>
          <wp:docPr id="4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568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1" behindDoc="1" locked="0" layoutInCell="1" allowOverlap="1">
          <wp:simplePos x="0" y="0"/>
          <wp:positionH relativeFrom="column">
            <wp:posOffset>5326380</wp:posOffset>
          </wp:positionH>
          <wp:positionV relativeFrom="paragraph">
            <wp:posOffset>-341630</wp:posOffset>
          </wp:positionV>
          <wp:extent cx="887730" cy="477520"/>
          <wp:effectExtent l="0" t="0" r="0" b="0"/>
          <wp:wrapNone/>
          <wp:docPr id="5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6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87730" cy="477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16" behindDoc="1" locked="0" layoutInCell="0" allowOverlap="1">
          <wp:simplePos x="0" y="0"/>
          <wp:positionH relativeFrom="leftMargin">
            <wp:align>right</wp:align>
          </wp:positionH>
          <wp:positionV relativeFrom="paragraph">
            <wp:posOffset>-521335</wp:posOffset>
          </wp:positionV>
          <wp:extent cx="920115" cy="920115"/>
          <wp:effectExtent l="0" t="0" r="0" b="0"/>
          <wp:wrapTopAndBottom/>
          <wp:docPr id="6" name="белый.png" descr="белый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белый.png" descr="белый.png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920115" cy="920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ahoma" w:hAnsi="Tahoma" w:eastAsia="Tahoma" w:cs="Tahoma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ahoma" w:hAnsi="Tahoma" w:eastAsia="Tahoma" w:cs="Tahoma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ahoma" w:hAnsi="Tahoma" w:eastAsia="Tahoma" w:cs="Tahoma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ahoma" w:hAnsi="Tahoma" w:eastAsia="Tahoma" w:cs="Tahoma"/>
      <w:color w:val="auto"/>
      <w:kern w:val="0"/>
      <w:sz w:val="24"/>
      <w:szCs w:val="24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Style12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5</Pages>
  <Words>977</Words>
  <Characters>6396</Characters>
  <CharactersWithSpaces>7162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2026-08-17T15:05:51Z</dcterms:created>
  <dc:creator>Un-named</dc:creator>
  <dc:description/>
  <dc:language>ru-RU</dc:language>
  <cp:lastModifiedBy/>
  <dcterms:modified xsi:type="dcterms:W3CDTF">2026-08-17T18:08:31Z</dcterms:modified>
  <cp:revision>2</cp:revision>
  <dc:subject/>
  <dc:title/>
</cp:coreProperties>
</file>