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Референсы AIR — таблица по клиентам</w:t>
      </w:r>
      <w:r>
        <w:rPr>
          <w:i/>
        </w:rPr>
        <w:br/>
      </w:r>
    </w:p>
    <w:tbl>
      <w:tblPr>
        <w:tblStyle w:val="TableGrid"/>
        <w:tblW w:w="135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524"/>
        <w:gridCol w:w="4524"/>
        <w:gridCol w:w="4524"/>
      </w:tblGrid>
      <w:tr>
        <w:trPr/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Заказчик</w:t>
            </w:r>
          </w:p>
        </w:tc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Предмет</w:t>
            </w:r>
          </w:p>
        </w:tc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Сроки</w:t>
            </w:r>
          </w:p>
        </w:tc>
      </w:tr>
      <w:tr>
        <w:trPr/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Металлургическая компания (NDA)</w:t>
            </w:r>
          </w:p>
        </w:tc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Рамочное сотрудничество по внедрению AI-решений «ИТ Экосистема AIR»: сервис работы с протоколами совещаний, интеллектуальная фильтрация почты, интеграция с Cloud.ru (LLM / OCR / STT / embeddings), автогенерация текстов и суммаризация, генерация изображений, интеллектуальный поиск</w:t>
            </w:r>
          </w:p>
        </w:tc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Рамочный договор — 1 год; конкретные работы — 11.12.2025–04.05.2026 (с продлением по ДС №1), доп. этап интеграции — 02.03–13.03.2026</w:t>
            </w:r>
          </w:p>
        </w:tc>
      </w:tr>
      <w:tr>
        <w:trPr/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Росатом</w:t>
            </w:r>
          </w:p>
        </w:tc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Разработка и внедрение мультимодального AI-агента на базе RAG и ScribeMate, 2 этапа</w:t>
            </w:r>
          </w:p>
        </w:tc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Этап 1: 23.06.2026 – 01.09.2026 (запуск агента), Этап 2 — после запуска</w:t>
            </w:r>
          </w:p>
        </w:tc>
      </w:tr>
      <w:tr>
        <w:trPr/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Недвижимость (NDA)</w:t>
            </w:r>
          </w:p>
        </w:tc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Рамочное предоставление доступа к сервису AI-Reporter + веб-разработка и наполнение сайта через ScribeMate/AI-Reporter + сопутствующие услуги интеграции и сопровождения</w:t>
            </w:r>
          </w:p>
        </w:tc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Доступ к сервису: 06.10.2025 – 05.10.2026 (12 месяцев), договор рамочный</w:t>
            </w:r>
          </w:p>
        </w:tc>
      </w:tr>
      <w:tr>
        <w:trPr/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Телекоммуникационная компания (NDA)</w:t>
            </w:r>
          </w:p>
        </w:tc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Рамочный лицензионный договор на предоставление ПО, выполнение работ/услуг, техническую поддержку ПО и аппаратного обеспечения по SLA</w:t>
            </w:r>
          </w:p>
        </w:tc>
        <w:tc>
          <w:tcPr>
            <w:tcW w:w="45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Рамочный договор, действует до 20.10.2028</w:t>
            </w:r>
          </w:p>
        </w:tc>
      </w:tr>
    </w:tbl>
    <w:p>
      <w:pPr>
        <w:pStyle w:val="Normal"/>
        <w:spacing w:before="0" w:after="200"/>
        <w:rPr>
          <w:b/>
        </w:rPr>
      </w:pPr>
      <w:r>
        <w:rPr>
          <w:b/>
        </w:rPr>
      </w:r>
    </w:p>
    <w:sectPr>
      <w:type w:val="nextPage"/>
      <w:pgSz w:orient="landscape" w:w="15840" w:h="122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</Pages>
  <Words>140</Words>
  <Characters>997</Characters>
  <CharactersWithSpaces>1127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2026-08-18T17:29:16Z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