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28"/>
        </w:rPr>
        <w:t>ООО «КСИИ» (AIR)</w:t>
      </w:r>
    </w:p>
    <w:p>
      <w:pPr>
        <w:spacing w:after="120"/>
      </w:pPr>
      <w:r>
        <w:rPr>
          <w:b w:val="0"/>
          <w:i w:val="0"/>
        </w:rPr>
        <w:t>115419, г. Москва, 2-й Рощинский пр-д, д. 8, стр. 2</w:t>
      </w:r>
    </w:p>
    <w:p>
      <w:pPr>
        <w:spacing w:after="120"/>
      </w:pPr>
      <w:r>
        <w:rPr>
          <w:b w:val="0"/>
          <w:i w:val="0"/>
        </w:rPr>
        <w:t>ИНН 9725007514 / КПП 772501001 / ОГРН 1197746254144</w:t>
      </w:r>
    </w:p>
    <w:p>
      <w:pPr>
        <w:spacing w:after="120"/>
      </w:pPr>
      <w:r>
        <w:rPr>
          <w:b w:val="0"/>
          <w:i w:val="0"/>
        </w:rPr>
        <w:t>Тел. +7 (495) 247-50-54 · info@airelations.io · airelations.io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  <w:jc w:val="right"/>
      </w:pPr>
      <w:r>
        <w:rPr>
          <w:b w:val="0"/>
          <w:i w:val="0"/>
        </w:rPr>
        <w:t>Генеральному директору</w:t>
      </w:r>
    </w:p>
    <w:p>
      <w:pPr>
        <w:spacing w:after="120"/>
        <w:jc w:val="right"/>
      </w:pPr>
      <w:r>
        <w:rPr>
          <w:b w:val="0"/>
          <w:i w:val="0"/>
        </w:rPr>
        <w:t>ООО «Почтовые финансы»</w:t>
      </w:r>
    </w:p>
    <w:p>
      <w:pPr>
        <w:spacing w:after="120"/>
        <w:jc w:val="right"/>
      </w:pPr>
      <w:r>
        <w:rPr>
          <w:b w:val="0"/>
          <w:i w:val="0"/>
        </w:rPr>
        <w:t>125252, г. Москва, 3-я Песчаная ул., д. 2А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№ [[ТРЕБУЕТСЯ ЗАПОЛНИТЬ / ПОДТВЕРДИТЬ]] от [[ТРЕБУЕТСЯ ЗАПОЛНИТЬ / ПОДТВЕРДИТЬ]]</w:t>
      </w:r>
    </w:p>
    <w:p>
      <w:pPr>
        <w:spacing w:after="120"/>
      </w:pPr>
      <w:r>
        <w:rPr>
          <w:b w:val="0"/>
          <w:i w:val="0"/>
        </w:rPr>
        <w:t>на № ПС-56-ЗЦ/2026 от 11.08.2026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26"/>
        </w:rPr>
        <w:t>Коммерческое предложение (ТКП)</w:t>
      </w:r>
    </w:p>
    <w:p>
      <w:pPr>
        <w:spacing w:after="120"/>
        <w:jc w:val="center"/>
      </w:pPr>
      <w:r>
        <w:rPr>
          <w:b w:val="0"/>
          <w:i w:val="0"/>
        </w:rPr>
        <w:t>на выполнение работ по внедрению функционала «Виртуальный сотрудник ИТ поддержки»,</w:t>
      </w:r>
    </w:p>
    <w:p>
      <w:pPr>
        <w:spacing w:after="120"/>
        <w:jc w:val="center"/>
      </w:pPr>
      <w:r>
        <w:rPr>
          <w:b w:val="0"/>
          <w:i w:val="0"/>
        </w:rPr>
        <w:t>чат-платформы и трансформации процессов управления базой знаний для АО «Почта России»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В ответ на запрос ценовой информации № ПС-56-ЗЦ/2026 от 11.08.2026 ООО «КСИИ» (бренд AIR) сообщает следующее.</w:t>
      </w:r>
    </w:p>
    <w:p>
      <w:pPr>
        <w:spacing w:after="120"/>
      </w:pPr>
      <w:r>
        <w:rPr>
          <w:b/>
          <w:i w:val="0"/>
        </w:rPr>
        <w:t>1. Цена предложения</w:t>
      </w:r>
    </w:p>
    <w:p>
      <w:pPr>
        <w:spacing w:after="120"/>
      </w:pPr>
      <w:r>
        <w:rPr>
          <w:b w:val="0"/>
          <w:i w:val="0"/>
        </w:rPr>
        <w:t>Общая стоимость работ по внедрению функционала «Виртуальный сотрудник ИТ поддержки», чат-платформы и трансформации процессов управления базой знаний в полном объёме, определённом Техническим заданием (все этапы, до 31.12.2027), составляет 39 800 000 ₽ без учёта налогов. НДС — 0%, ООО «КСИИ» является резидентом «Сколково» и применяет освобождение от НДС на основании ст. 145.1 НК РФ.</w:t>
      </w:r>
    </w:p>
    <w:p>
      <w:pPr>
        <w:spacing w:after="120"/>
      </w:pPr>
      <w:r>
        <w:rPr>
          <w:b w:val="0"/>
          <w:i w:val="0"/>
        </w:rPr>
        <w:t>Право использования программного обеспечения оформляется отдельным лицензионным договором в соответствии с требованиями законодательства об освобождении лицензионных платежей от НДС.</w:t>
      </w:r>
    </w:p>
    <w:p>
      <w:pPr>
        <w:spacing w:after="120"/>
      </w:pPr>
      <w:r>
        <w:rPr>
          <w:b w:val="0"/>
          <w:i w:val="0"/>
        </w:rPr>
        <w:t>Указанная стоимость сформирована на основании первичного анализа Технического задания и подлежит уточнению по результатам предпроектного обследования (интеграция с 13 системами Заказчика, точный состав доработок функционала — Приложение №1 к ТЗ).</w:t>
      </w:r>
    </w:p>
    <w:p>
      <w:pPr>
        <w:spacing w:after="120"/>
      </w:pPr>
      <w:r>
        <w:rPr>
          <w:b/>
          <w:i w:val="0"/>
        </w:rPr>
        <w:t>2. Срок действия предложения</w:t>
      </w:r>
    </w:p>
    <w:p>
      <w:pPr>
        <w:spacing w:after="120"/>
      </w:pPr>
      <w:r>
        <w:rPr>
          <w:b w:val="0"/>
          <w:i w:val="0"/>
        </w:rPr>
        <w:t>Настоящее предложение действительно в течение 180 (ста восьмидесяти) календарных дней с даты направления.</w:t>
      </w:r>
    </w:p>
    <w:p>
      <w:pPr>
        <w:spacing w:after="120"/>
      </w:pPr>
      <w:r>
        <w:rPr>
          <w:b/>
          <w:i w:val="0"/>
        </w:rPr>
        <w:t>3. Условия оказания услуг</w:t>
      </w:r>
    </w:p>
    <w:p>
      <w:pPr>
        <w:spacing w:after="120"/>
      </w:pPr>
      <w:r>
        <w:rPr>
          <w:b w:val="0"/>
          <w:i w:val="0"/>
        </w:rPr>
        <w:t>Срок оказания услуг — с даты заключения договора до 31.12.2027, в соответствии с этапами, определёнными Техническим заданием.</w:t>
      </w:r>
    </w:p>
    <w:p>
      <w:pPr>
        <w:spacing w:after="120"/>
      </w:pPr>
      <w:r>
        <w:rPr>
          <w:b w:val="0"/>
          <w:i w:val="0"/>
        </w:rPr>
        <w:t>Условия оплаты — в течение 40 дней после подписания акта приёмо-сдаточных испытаний, без авансирования, как указано в запросе.</w:t>
      </w:r>
    </w:p>
    <w:p>
      <w:pPr>
        <w:spacing w:after="120"/>
      </w:pPr>
      <w:r>
        <w:rPr>
          <w:b w:val="0"/>
          <w:i w:val="0"/>
        </w:rPr>
        <w:t>Обеспечение исполнения договора — не установлено.</w:t>
      </w:r>
    </w:p>
    <w:p>
      <w:pPr>
        <w:spacing w:after="120"/>
      </w:pPr>
      <w:r>
        <w:rPr>
          <w:b w:val="0"/>
          <w:i w:val="0"/>
        </w:rPr>
        <w:t>Гарантийный срок — 1 (один) год, в соответствии с п. 9.16 Технического задания.</w:t>
      </w:r>
    </w:p>
    <w:p>
      <w:pPr>
        <w:spacing w:after="120"/>
      </w:pPr>
      <w:r>
        <w:rPr>
          <w:b/>
          <w:i w:val="0"/>
        </w:rPr>
        <w:t>4. Программное обеспечение</w:t>
      </w:r>
    </w:p>
    <w:p>
      <w:pPr>
        <w:spacing w:after="120"/>
      </w:pPr>
      <w:r>
        <w:rPr>
          <w:b w:val="0"/>
          <w:i w:val="0"/>
        </w:rPr>
        <w:t>Предлагаемое решение построено на базе платформы ООО «КСИИ» RAG — корпоративная база знаний с ИИ-поиском, on-premise, данные не покидают контур заказчика. Подача в Реестр российского ПО в процессе.</w:t>
      </w:r>
    </w:p>
    <w:p>
      <w:pPr>
        <w:spacing w:after="120"/>
      </w:pPr>
      <w:r>
        <w:rPr>
          <w:b/>
          <w:i w:val="0"/>
        </w:rPr>
        <w:t>5. Соответствие требованиям к платформе</w:t>
      </w:r>
    </w:p>
    <w:p>
      <w:pPr>
        <w:spacing w:after="120"/>
      </w:pPr>
      <w:r>
        <w:rPr>
          <w:b w:val="0"/>
          <w:i w:val="0"/>
        </w:rPr>
        <w:t>Полный разбор соответствия предлагаемого решения всем 163 пунктам Приложения №1 к Техническому заданию прилагается отдельным файлом. Сводно: около 79% требований покрываются базовым функционалом платформы RAG и agent-оркестрации AIR (интеграция по REST API, поиск по базе знаний со ссылками на источники, ролевая модель, аналитика, масштабирование, история диалогов). Порядка 21% требований — точечные интеграции с системами Заказчика (АСУИП, Confluence, AD, GLPI, SCCM, Zabbix и др.) и специализированные доработки под конкретный процесс ИТ-поддержки Почты России (сервер навыков, режимы контроля, аттестация виртуального сотрудника) — их объём уточняется на этапе предпроектного обследования.</w:t>
      </w:r>
    </w:p>
    <w:p>
      <w:pPr>
        <w:spacing w:after="120"/>
      </w:pPr>
      <w:r>
        <w:rPr>
          <w:b/>
          <w:i w:val="0"/>
        </w:rPr>
        <w:t>6. Опыт и референсы</w:t>
      </w:r>
    </w:p>
    <w:p>
      <w:pPr>
        <w:spacing w:after="120"/>
      </w:pPr>
      <w:r>
        <w:rPr>
          <w:b w:val="0"/>
          <w:i w:val="0"/>
        </w:rPr>
        <w:t>AIR обладает опытом внедрения ИИ-решений на базе собственных платформ, включая следующие релевантные проекты:</w:t>
      </w:r>
    </w:p>
    <w:p>
      <w:pPr>
        <w:pStyle w:val="ListBullet"/>
        <w:spacing w:after="80"/>
      </w:pPr>
      <w:r>
        <w:t>АтомМедиа (Росатом) — личный кабинет журналиста с ИИ-функционалом: адаптация пресс-релизов под формат изданий, генерация подкастов, информационных карточек и коротких видео. Рост числа зарегистрированных пользователей — в 7 раз, свыше 5000 ИИ-генераций материалов.</w:t>
      </w:r>
    </w:p>
    <w:p>
      <w:pPr>
        <w:pStyle w:val="ListBullet"/>
        <w:spacing w:after="80"/>
      </w:pPr>
      <w:r>
        <w:t>Компания в сфере коммерческой недвижимости (NDA) — ИИ-ассистент с умным поиском по базе знаний клиента на платформе RAG, включая контент сайта на 1С-Битрикс. Интерфейс «поисковая строка → диалог в чате».</w:t>
      </w:r>
    </w:p>
    <w:p>
      <w:pPr>
        <w:pStyle w:val="ListBullet"/>
        <w:spacing w:after="80"/>
      </w:pPr>
      <w:r>
        <w:t>Металлургическая компания (NDA) — умный поиск по внутренним базам данных, фильтрация и маршрутизация входящей почты, автоматическое протоколирование совещаний. Ускорение поиска документов — в 3 раза, подготовки протоколов — в 1,5 раза.</w:t>
      </w:r>
    </w:p>
    <w:p>
      <w:pPr>
        <w:pStyle w:val="ListBullet"/>
        <w:spacing w:after="80"/>
      </w:pPr>
      <w:r>
        <w:t>Телекоммуникационная компания (NDA) — сервис ИИ-генерации контента для 89 регионов присутствия на основе внутренних данных. Сокращение времени подготовки с 5 часов до 5 минут на партию материалов.</w:t>
      </w:r>
    </w:p>
    <w:p>
      <w:pPr>
        <w:spacing w:after="120"/>
      </w:pPr>
      <w:r>
        <w:rPr>
          <w:b w:val="0"/>
          <w:i/>
        </w:rPr>
        <w:t>Что не подтверждено и требует проверки перед подачей окончательного КП:</w:t>
      </w:r>
    </w:p>
    <w:p>
      <w:pPr>
        <w:pStyle w:val="ListBullet"/>
        <w:spacing w:after="80"/>
      </w:pPr>
      <w:r>
        <w:t>Завершённый проект внедрения именно бот-платформы (диалоговый ИИ с обработкой обращений в реальном времени, а не только поиск/генерация контента) — среди перечисленных кейсов есть RAG-поиск и генерация, но нет прямого аналога 'виртуального сотрудника поддержки' с маршрутизацией обращений.</w:t>
      </w:r>
    </w:p>
    <w:p>
      <w:pPr>
        <w:pStyle w:val="ListBullet"/>
        <w:spacing w:after="80"/>
      </w:pPr>
      <w:r>
        <w:t>Референс у заказчика с численностью пользователей свыше 5000 человек в явном виде — не подтверждено ни по одному из известных кейсов; необходимо уточнить у коммерческой команды, есть ли такой проект вне перечисленных.</w:t>
      </w:r>
    </w:p>
    <w:p>
      <w:pPr>
        <w:pStyle w:val="ListBullet"/>
        <w:spacing w:after="80"/>
      </w:pPr>
      <w:r>
        <w:t>Официальный референс-лист (документ с контактами и подтверждением от заказчика) — не собран, требуется подготовка отдельно.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Настоящее предложение не является офертой и не влечёт возникновения обязательств для сторон до момента заключения договора.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Реквизиты организации:</w:t>
      </w:r>
    </w:p>
    <w:p>
      <w:pPr>
        <w:spacing w:after="120"/>
      </w:pPr>
      <w:r>
        <w:rPr>
          <w:b w:val="0"/>
          <w:i w:val="0"/>
        </w:rPr>
        <w:t>Поставщик (подрядчик, исполнитель): ООО «КСИИ»</w:t>
      </w:r>
    </w:p>
    <w:p>
      <w:pPr>
        <w:spacing w:after="120"/>
      </w:pPr>
      <w:r>
        <w:rPr>
          <w:b w:val="0"/>
          <w:i w:val="0"/>
        </w:rPr>
        <w:t>ИНН: 9725007514</w:t>
      </w:r>
    </w:p>
    <w:p>
      <w:pPr>
        <w:spacing w:after="120"/>
      </w:pPr>
      <w:r>
        <w:rPr>
          <w:b w:val="0"/>
          <w:i w:val="0"/>
        </w:rPr>
        <w:t>КПП: 772501001</w:t>
      </w:r>
    </w:p>
    <w:p>
      <w:pPr>
        <w:spacing w:after="120"/>
      </w:pPr>
      <w:r>
        <w:rPr>
          <w:b w:val="0"/>
          <w:i w:val="0"/>
        </w:rPr>
        <w:t>ОГРН: 1197746254144</w:t>
      </w:r>
    </w:p>
    <w:p>
      <w:pPr>
        <w:spacing w:after="120"/>
      </w:pPr>
      <w:r>
        <w:rPr>
          <w:b w:val="0"/>
          <w:i w:val="0"/>
        </w:rPr>
        <w:t>Адрес: 115419, г. Москва, 2-й Рощинский пр-д, д. 8, стр. 2</w:t>
      </w:r>
    </w:p>
    <w:p>
      <w:pPr>
        <w:spacing w:after="120"/>
      </w:pPr>
      <w:r>
        <w:rPr>
          <w:b w:val="0"/>
          <w:i w:val="0"/>
        </w:rPr>
        <w:t>Телефон: +7 (495) 247-50-54</w:t>
      </w:r>
    </w:p>
    <w:p>
      <w:pPr>
        <w:spacing w:after="120"/>
      </w:pPr>
      <w:r>
        <w:rPr>
          <w:b w:val="0"/>
          <w:i w:val="0"/>
        </w:rPr>
        <w:t>E-mail: info@airelations.io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_______________________ (должность)</w:t>
        <w:tab/>
        <w:tab/>
        <w:tab/>
        <w:t>_______________________ (Ф.И.О.)</w:t>
      </w:r>
    </w:p>
    <w:p>
      <w:pPr>
        <w:spacing w:after="120"/>
      </w:pPr>
      <w:r>
        <w:rPr>
          <w:b w:val="0"/>
          <w:i w:val="0"/>
        </w:rPr>
        <w:t>М.П.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Дата: 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