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rFonts w:eastAsia="Calibri" w:cs="Calibri"/>
          <w:b/>
          <w:bCs/>
          <w:color w:val="C00000"/>
          <w:sz w:val="40"/>
          <w:szCs w:val="40"/>
        </w:rPr>
        <w:t>QSOFT</w:t>
      </w:r>
    </w:p>
    <w:p>
      <w:pPr>
        <w:pStyle w:val="Normal"/>
        <w:pBdr>
          <w:bottom w:val="single" w:sz="6" w:space="0" w:color="BFBFBF"/>
        </w:pBdr>
        <w:spacing w:before="0" w:after="300"/>
        <w:rPr/>
      </w:pPr>
      <w:r>
        <w:rPr>
          <w:rFonts w:eastAsia="Calibri" w:cs="Calibri"/>
          <w:color w:val="808080"/>
          <w:sz w:val="18"/>
          <w:szCs w:val="18"/>
        </w:rPr>
        <w:t>101000, Россия, Москва, Покровский бульвар, 4/17, стр. 1</w:t>
      </w:r>
    </w:p>
    <w:p>
      <w:pPr>
        <w:pStyle w:val="Normal"/>
        <w:spacing w:before="0" w:after="80"/>
        <w:rPr/>
      </w:pPr>
      <w:r>
        <w:rPr>
          <w:rFonts w:eastAsia="Calibri" w:cs="Calibri"/>
          <w:b/>
          <w:bCs/>
          <w:sz w:val="36"/>
          <w:szCs w:val="36"/>
        </w:rPr>
        <w:t>Тестовое задание на позицию: менеджер IT-проектов</w:t>
      </w:r>
    </w:p>
    <w:p>
      <w:pPr>
        <w:pStyle w:val="Normal"/>
        <w:spacing w:before="0" w:after="400"/>
        <w:rPr/>
      </w:pPr>
      <w:r>
        <w:rPr>
          <w:rFonts w:eastAsia="Calibri" w:cs="Calibri"/>
          <w:color w:val="404040"/>
          <w:sz w:val="24"/>
          <w:szCs w:val="24"/>
        </w:rPr>
        <w:t>Кандидат: Лицин Владислав Владимирович</w:t>
      </w:r>
    </w:p>
    <w:p>
      <w:pPr>
        <w:pStyle w:val="Heading1"/>
        <w:spacing w:before="170" w:after="100"/>
        <w:rPr/>
      </w:pPr>
      <w:r>
        <w:rPr>
          <w:rFonts w:eastAsia="Calibri" w:cs="Calibri" w:ascii="Calibri" w:hAnsi="Calibri"/>
        </w:rPr>
        <w:t>Текст задания</w:t>
      </w:r>
    </w:p>
    <w:p>
      <w:pPr>
        <w:pStyle w:val="Normal"/>
        <w:spacing w:before="0" w:after="160"/>
        <w:rPr/>
      </w:pPr>
      <w:r>
        <w:rPr>
          <w:rFonts w:eastAsia="Calibri" w:cs="Calibri"/>
          <w:i/>
          <w:iCs/>
          <w:sz w:val="20"/>
          <w:szCs w:val="20"/>
        </w:rPr>
        <w:t>Мы в QSOFT ценим в своих сотрудниках навык поиска решений для нестандартных задач — нам важно понять ваш подход к работе и решению задач.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sz w:val="20"/>
          <w:szCs w:val="20"/>
        </w:rPr>
        <w:t>Кейс: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0"/>
          <w:szCs w:val="20"/>
        </w:rPr>
        <w:t>Вы с другом собираетесь в отпуск, вы совместно определили даты и маршрут поездки. Так как вы уже опытный управленец, вы решили взять планирование на себя.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sz w:val="20"/>
          <w:szCs w:val="20"/>
        </w:rPr>
        <w:t>Задача:</w:t>
      </w:r>
    </w:p>
    <w:p>
      <w:pPr>
        <w:pStyle w:val="Normal"/>
        <w:spacing w:before="0" w:after="60"/>
        <w:rPr/>
      </w:pPr>
      <w:r>
        <w:rPr>
          <w:rFonts w:eastAsia="Calibri" w:cs="Calibri"/>
          <w:sz w:val="20"/>
          <w:szCs w:val="20"/>
        </w:rPr>
        <w:t>Вам необходимо организовать отпуск и подготовить:</w:t>
      </w:r>
    </w:p>
    <w:p>
      <w:pPr>
        <w:pStyle w:val="ListParagraph"/>
        <w:numPr>
          <w:ilvl w:val="0"/>
          <w:numId w:val="3"/>
        </w:numPr>
        <w:spacing w:before="0" w:after="36"/>
        <w:rPr/>
      </w:pPr>
      <w:r>
        <w:rPr>
          <w:rFonts w:eastAsia="Calibri" w:cs="Calibri"/>
          <w:sz w:val="20"/>
          <w:szCs w:val="20"/>
        </w:rPr>
        <w:t>диаграмму Ганта процесса подготовки отпуска (не прикреплять картинкой в задание);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бюджет отпуска;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матрицу рисков и план их митигации.</w:t>
      </w:r>
    </w:p>
    <w:p>
      <w:pPr>
        <w:pStyle w:val="Heading1"/>
        <w:spacing w:before="170" w:after="100"/>
        <w:rPr/>
      </w:pPr>
      <w:r>
        <w:rPr>
          <w:rFonts w:eastAsia="Calibri" w:cs="Calibri" w:ascii="Calibri" w:hAnsi="Calibri"/>
        </w:rPr>
        <w:t xml:space="preserve">Ответ </w:t>
      </w:r>
      <w:r>
        <w:rPr>
          <w:rFonts w:eastAsia="Calibri" w:cs="Calibri" w:ascii="Calibri" w:hAnsi="Calibri"/>
        </w:rPr>
        <w:t xml:space="preserve">(В ответе использовался </w:t>
      </w:r>
      <w:r>
        <w:rPr>
          <w:rFonts w:eastAsia="Calibri" w:cs="Calibri" w:ascii="Calibri" w:hAnsi="Calibri"/>
          <w:lang w:val="en-US"/>
        </w:rPr>
        <w:t xml:space="preserve">Claude Code </w:t>
      </w:r>
      <w:r>
        <w:rPr>
          <w:rFonts w:eastAsia="Calibri" w:cs="Calibri" w:ascii="Calibri" w:hAnsi="Calibri"/>
          <w:lang w:val="ru-RU"/>
        </w:rPr>
        <w:t>для верстки документа и генерации идей, текст был вычитан мной)</w:t>
      </w:r>
    </w:p>
    <w:p>
      <w:pPr>
        <w:pStyle w:val="Heading2"/>
        <w:spacing w:before="170" w:after="100"/>
        <w:rPr/>
      </w:pPr>
      <w:r>
        <w:rPr>
          <w:rFonts w:eastAsia="Calibri" w:cs="Calibri" w:ascii="Calibri" w:hAnsi="Calibri"/>
        </w:rPr>
        <w:t>1. Вводные:</w:t>
      </w:r>
    </w:p>
    <w:tbl>
      <w:tblPr>
        <w:tblW w:w="15000" w:type="dxa"/>
        <w:jc w:val="start"/>
        <w:tblInd w:w="0" w:type="dxa"/>
        <w:tblLayout w:type="fixed"/>
        <w:tblCellMar>
          <w:top w:w="16" w:type="dxa"/>
          <w:start w:w="70" w:type="dxa"/>
          <w:bottom w:w="16" w:type="dxa"/>
          <w:end w:w="70" w:type="dxa"/>
        </w:tblCellMar>
      </w:tblPr>
      <w:tblGrid>
        <w:gridCol w:w="3000"/>
        <w:gridCol w:w="1200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1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Значение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Маршрут</w:t>
            </w:r>
          </w:p>
        </w:tc>
        <w:tc>
          <w:tcPr>
            <w:tcW w:w="1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Москва → Стамбул (5 ночей) → Каппадокия (5 ночей) → Стамбул (3 ночи) → Москва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Даты поездки</w:t>
            </w:r>
          </w:p>
        </w:tc>
        <w:tc>
          <w:tcPr>
            <w:tcW w:w="1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15–29 ноября 2026, 14 дней и 13 ночей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Старт подготовки</w:t>
            </w:r>
          </w:p>
        </w:tc>
        <w:tc>
          <w:tcPr>
            <w:tcW w:w="1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 сентября 2026 — за 10,5 недель до вылета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Участники</w:t>
            </w:r>
          </w:p>
        </w:tc>
        <w:tc>
          <w:tcPr>
            <w:tcW w:w="1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Двое. Я веду планирование и контроль, друг закрывает часть задач и согласует решения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Потолок бюджета</w:t>
            </w:r>
          </w:p>
        </w:tc>
        <w:tc>
          <w:tcPr>
            <w:tcW w:w="1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550 000 ₽ на двоих, договорённость достигнута до начала оплат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Ключевая цель поездки</w:t>
            </w:r>
          </w:p>
        </w:tc>
        <w:tc>
          <w:tcPr>
            <w:tcW w:w="1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Полёт на воздушном шаре в Каппадокии — вокруг неё строится расписание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Формат управления</w:t>
            </w:r>
          </w:p>
        </w:tc>
        <w:tc>
          <w:tcPr>
            <w:tcW w:w="1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Общий файл с планом и бронями, сверка статуса раз в неделю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Calibri" w:cs="Calibri"/>
          <w:sz w:val="20"/>
          <w:szCs w:val="20"/>
        </w:rPr>
        <w:t>Д</w:t>
      </w:r>
      <w:r>
        <w:rPr>
          <w:rFonts w:eastAsia="Calibri" w:cs="Calibri"/>
          <w:sz w:val="20"/>
          <w:szCs w:val="20"/>
        </w:rPr>
        <w:t>руг здесь вторая сторона: у него свои задачи и право вето на общие решения. Отсюда веха согласования в плане и правило, что резерв тратится только по согласию обоих.</w:t>
      </w:r>
    </w:p>
    <w:p>
      <w:pPr>
        <w:pStyle w:val="Heading1"/>
        <w:spacing w:before="170" w:after="100"/>
        <w:rPr/>
      </w:pPr>
      <w:r>
        <w:rPr>
          <w:rFonts w:eastAsia="Calibri" w:cs="Calibri" w:ascii="Calibri" w:hAnsi="Calibri"/>
        </w:rPr>
        <w:t>2. Диаграмма Ганта: подготовка отпуска</w:t>
      </w:r>
    </w:p>
    <w:tbl>
      <w:tblPr>
        <w:tblW w:w="15036" w:type="dxa"/>
        <w:jc w:val="start"/>
        <w:tblInd w:w="0" w:type="dxa"/>
        <w:tblLayout w:type="fixed"/>
        <w:tblCellMar>
          <w:top w:w="16" w:type="dxa"/>
          <w:start w:w="70" w:type="dxa"/>
          <w:bottom w:w="16" w:type="dxa"/>
          <w:end w:w="70" w:type="dxa"/>
        </w:tblCellMar>
      </w:tblPr>
      <w:tblGrid>
        <w:gridCol w:w="3300"/>
        <w:gridCol w:w="759"/>
        <w:gridCol w:w="761"/>
        <w:gridCol w:w="519"/>
        <w:gridCol w:w="900"/>
        <w:gridCol w:w="901"/>
        <w:gridCol w:w="564"/>
        <w:gridCol w:w="564"/>
        <w:gridCol w:w="564"/>
        <w:gridCol w:w="563"/>
        <w:gridCol w:w="564"/>
        <w:gridCol w:w="564"/>
        <w:gridCol w:w="564"/>
        <w:gridCol w:w="564"/>
        <w:gridCol w:w="565"/>
        <w:gridCol w:w="564"/>
        <w:gridCol w:w="564"/>
        <w:gridCol w:w="564"/>
        <w:gridCol w:w="564"/>
        <w:gridCol w:w="564"/>
      </w:tblGrid>
      <w:tr>
        <w:trPr>
          <w:tblHeader w:val="true"/>
        </w:trPr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 xml:space="preserve">№ </w:t>
            </w: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/ Задача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Начало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Оконч.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Дн.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Зависит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Ответств.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31.08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07.09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14.09</w:t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21.09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28.09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05.10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12.10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19.10</w:t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26.10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02.11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09.11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16.11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23.11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2"/>
                <w:szCs w:val="12"/>
              </w:rPr>
              <w:t>30.11</w:t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1. Вводные: даты, маршрут, потолок бюджета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01.09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03.09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Владислав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2. Проверка загранпаспортов: запас 6 месяцев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01.09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04.09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Оба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3. Правила въезда и сроки безвизового пребывания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03.09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07.09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1, 2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Владислав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4. Покупка авиабилетов Москва — Стамбул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05.09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19.09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15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2, 3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Владислав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5. Веха: авиабилеты выкуплены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19.09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19.09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4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Владислав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C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6. Жильё в Стамбуле, 8 ночей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08.09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22.09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15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4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Друг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7. Жильё в Каппадокии, 5 ночей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08.09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22.09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15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4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Владислав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8. Перелёт Стамбул — Кайсери и обратно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20.09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26.09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Владислав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9. Трансферы аэропорт — отель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24.09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02.10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8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Друг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10. Бронь полёта на шаре и экскурсий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28.09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10.10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13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7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Владислав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11. Оформление страховки ВЗР на двоих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12.10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16.10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Друг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12. Платёжный контур: карта и наличные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12.10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30.10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19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Владислав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13. Аптечка и рецептурные препараты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19.10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23.10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Оба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14. План по дням, карты, все брони в одном файле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26.10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06.11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12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6, 7, 9, 10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Владислав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15. Веха: план согласован с другом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09.11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09.11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14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Оба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C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16. Онлайн-регистрация и сборы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09.11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14.11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15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Оба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17. Веха: вылет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15.11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15.11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16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—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C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18. Поездка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15.11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29.11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15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17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Оба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70AD4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70AD4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70AD4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19. Ретроспектива: факт против плана</w:t>
            </w:r>
          </w:p>
        </w:tc>
        <w:tc>
          <w:tcPr>
            <w:tcW w:w="7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30.11</w:t>
            </w:r>
          </w:p>
        </w:tc>
        <w:tc>
          <w:tcPr>
            <w:tcW w:w="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02.12</w:t>
            </w:r>
          </w:p>
        </w:tc>
        <w:tc>
          <w:tcPr>
            <w:tcW w:w="51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18</w:t>
            </w:r>
          </w:p>
        </w:tc>
        <w:tc>
          <w:tcPr>
            <w:tcW w:w="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6"/>
                <w:szCs w:val="16"/>
              </w:rPr>
              <w:t>Владислав</w:t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15038" w:type="dxa"/>
        <w:jc w:val="start"/>
        <w:tblInd w:w="0" w:type="dxa"/>
        <w:tblLayout w:type="fixed"/>
        <w:tblCellMar>
          <w:top w:w="16" w:type="dxa"/>
          <w:start w:w="70" w:type="dxa"/>
          <w:bottom w:w="16" w:type="dxa"/>
          <w:end w:w="70" w:type="dxa"/>
        </w:tblCellMar>
      </w:tblPr>
      <w:tblGrid>
        <w:gridCol w:w="300"/>
        <w:gridCol w:w="3459"/>
        <w:gridCol w:w="301"/>
        <w:gridCol w:w="3459"/>
        <w:gridCol w:w="300"/>
        <w:gridCol w:w="3459"/>
        <w:gridCol w:w="301"/>
        <w:gridCol w:w="3459"/>
      </w:tblGrid>
      <w:tr>
        <w:trPr/>
        <w:tc>
          <w:tcPr>
            <w:tcW w:w="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4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6"/>
                <w:szCs w:val="16"/>
              </w:rPr>
              <w:t>Критический путь</w:t>
            </w:r>
          </w:p>
        </w:tc>
        <w:tc>
          <w:tcPr>
            <w:tcW w:w="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8EA9D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4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6"/>
                <w:szCs w:val="16"/>
              </w:rPr>
              <w:t>Задача с запасом по срокам</w:t>
            </w:r>
          </w:p>
        </w:tc>
        <w:tc>
          <w:tcPr>
            <w:tcW w:w="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C00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4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6"/>
                <w:szCs w:val="16"/>
              </w:rPr>
              <w:t>Веха — точка контроля</w:t>
            </w:r>
          </w:p>
        </w:tc>
        <w:tc>
          <w:tcPr>
            <w:tcW w:w="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70AD4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4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6"/>
                <w:szCs w:val="16"/>
              </w:rPr>
              <w:t>Поездка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Calibri" w:cs="Calibri"/>
          <w:b/>
          <w:bCs/>
          <w:sz w:val="20"/>
          <w:szCs w:val="20"/>
        </w:rPr>
        <w:t>Логика плана, коротко: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Документы проверяем в первый день, до оплат. Просроченный паспорт в сентябре стоит поездки в МФЦ. В ноябре — стоит поездки.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Билеты берём раньше жилья: они дорожают быстрее и задают все остальные даты.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Между готовым планом 6 ноября и вылетом 15-го — буфер в девять дней. На переносы и то, что всплывёт.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Полёт на шаре — на второй день в Каппадокии. Останется три дня на перенос по погоде, а отменяют их часто.</w:t>
      </w:r>
    </w:p>
    <w:p>
      <w:pPr>
        <w:pStyle w:val="Heading1"/>
        <w:spacing w:before="170" w:after="1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br/>
      </w:r>
      <w:r>
        <w:br w:type="page"/>
      </w:r>
    </w:p>
    <w:p>
      <w:pPr>
        <w:pStyle w:val="Heading1"/>
        <w:spacing w:before="170" w:after="1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3. Бюджет отпуска</w:t>
      </w:r>
    </w:p>
    <w:p>
      <w:pPr>
        <w:pStyle w:val="Normal"/>
        <w:spacing w:before="0" w:after="140"/>
        <w:rPr/>
      </w:pPr>
      <w:r>
        <w:rPr>
          <w:rFonts w:eastAsia="Calibri" w:cs="Calibri"/>
          <w:sz w:val="20"/>
          <w:szCs w:val="20"/>
        </w:rPr>
        <w:t>На двоих, в рублях, по ценам ноября. Резерв вынесен отдельной строкой: это не «запас на всякий случай», а часть бюджета со своим правилом расходования.</w:t>
      </w:r>
    </w:p>
    <w:tbl>
      <w:tblPr>
        <w:tblW w:w="15038" w:type="dxa"/>
        <w:jc w:val="start"/>
        <w:tblInd w:w="0" w:type="dxa"/>
        <w:tblLayout w:type="fixed"/>
        <w:tblCellMar>
          <w:top w:w="16" w:type="dxa"/>
          <w:start w:w="70" w:type="dxa"/>
          <w:bottom w:w="16" w:type="dxa"/>
          <w:end w:w="70" w:type="dxa"/>
        </w:tblCellMar>
      </w:tblPr>
      <w:tblGrid>
        <w:gridCol w:w="1699"/>
        <w:gridCol w:w="4600"/>
        <w:gridCol w:w="1701"/>
        <w:gridCol w:w="1699"/>
        <w:gridCol w:w="5339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Статья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Позиция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Расчёт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Сумма, ₽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Перелёты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Москва — Стамбул, 2 чел.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2 × 24 000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48 000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Ноябрь, низкий сезон; прямой рейс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Перелёты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Кайсери — Стамбул — Москва, 2 чел.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2 × 28 000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56 000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Обратный со внутренней стыковкой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Перелёты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Стамбул — Кайсери, 2 чел.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2 × 6 000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12 000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Местный лоукостер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Проживание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Стамбул, 8 ночей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8 × 9 000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72 000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5 ночей в начале и 3 в конце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Проживание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Каппадокия, 5 ночей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5 × 8 000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40 000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Отель в пещерном формате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Активности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Полёт на воздушном шаре, 2 чел.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2 × 22 000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44 000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Главная цель поездки, бронь заранее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Активности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Экскурсии, музеи, входные билеты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30 000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Оценка по шести объектам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Питание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14 дней на двоих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28 × 3 500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98 000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Средний чек, без высокой кухни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Транспорт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Трансферы, местный транспорт, авто на 2 дня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20 000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Прочее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Страховка ВЗР, 2 чел.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2 × 3 500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7 000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Покрытие 50 000 €, активный отдых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Прочее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Мобильная связь: eSIM, 2 чел.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2 × 1 500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3 000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Прочее</w:t>
            </w:r>
          </w:p>
        </w:tc>
        <w:tc>
          <w:tcPr>
            <w:tcW w:w="4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18"/>
                <w:szCs w:val="18"/>
              </w:rPr>
              <w:t>Сувениры, личные траты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sz w:val="18"/>
                <w:szCs w:val="18"/>
              </w:rPr>
              <w:t>20 000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8000" w:type="dxa"/>
            <w:gridSpan w:val="3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8E8E8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Прямые расходы, итого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8E8E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450 000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8E8E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8000" w:type="dxa"/>
            <w:gridSpan w:val="3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8E8E8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Резерв на непредвиденное, 12 %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8E8E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54 000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8E8E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8000" w:type="dxa"/>
            <w:gridSpan w:val="3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D9D9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ИТОГО НА ДВОИХ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504 000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8000" w:type="dxa"/>
            <w:gridSpan w:val="3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D9D9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На одного человека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252 000</w:t>
            </w:r>
          </w:p>
        </w:tc>
        <w:tc>
          <w:tcPr>
            <w:tcW w:w="5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Calibri" w:cs="Calibri"/>
          <w:b/>
          <w:bCs/>
          <w:sz w:val="20"/>
          <w:szCs w:val="20"/>
        </w:rPr>
        <w:t>Как я управляю этим бюджетом: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Резерв 54 000 ₽ тратится по согласию обоих и только на риски из матрицы ниже. Остался — делим пополам после поездки.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Общие траты — из общего кошелька, личные каждый несёт сам. Снимает большую часть бытовых споров.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Контрольная точка: потратили больше 60 % к середине поездки — режем рестораны и экскурсии, а не двигаем обратный билет.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Треть бюджета везём наличными — прямое следствие риска R3.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После поездки сверяем план с фактом — чтобы следующая оценка была точнее.</w:t>
      </w:r>
    </w:p>
    <w:p>
      <w:pPr>
        <w:pStyle w:val="Heading1"/>
        <w:spacing w:before="170" w:after="1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br/>
      </w:r>
      <w:r>
        <w:br w:type="page"/>
      </w:r>
    </w:p>
    <w:p>
      <w:pPr>
        <w:pStyle w:val="Heading1"/>
        <w:spacing w:before="170" w:after="1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4. Матрица рисков и план митигации</w:t>
      </w:r>
    </w:p>
    <w:p>
      <w:pPr>
        <w:pStyle w:val="Heading2"/>
        <w:spacing w:before="170" w:after="100"/>
        <w:rPr/>
      </w:pPr>
      <w:r>
        <w:rPr>
          <w:rFonts w:eastAsia="Calibri" w:cs="Calibri" w:ascii="Calibri" w:hAnsi="Calibri"/>
        </w:rPr>
        <w:t>4.1. Карта рисков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0"/>
          <w:szCs w:val="20"/>
        </w:rPr>
        <w:t>Уровень риска — вероятность на влияние. Красная зона меняет план, жёлтая требует наблюдения, зелёную принимаем как есть.</w:t>
      </w:r>
    </w:p>
    <w:tbl>
      <w:tblPr>
        <w:tblW w:w="15038" w:type="dxa"/>
        <w:jc w:val="start"/>
        <w:tblInd w:w="0" w:type="dxa"/>
        <w:tblLayout w:type="fixed"/>
        <w:tblCellMar>
          <w:top w:w="16" w:type="dxa"/>
          <w:start w:w="70" w:type="dxa"/>
          <w:bottom w:w="16" w:type="dxa"/>
          <w:end w:w="70" w:type="dxa"/>
        </w:tblCellMar>
      </w:tblPr>
      <w:tblGrid>
        <w:gridCol w:w="3037"/>
        <w:gridCol w:w="4000"/>
        <w:gridCol w:w="4000"/>
        <w:gridCol w:w="4001"/>
      </w:tblGrid>
      <w:tr>
        <w:trPr>
          <w:tblHeader w:val="true"/>
        </w:trPr>
        <w:tc>
          <w:tcPr>
            <w:tcW w:w="30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Вероятность / Влияние</w:t>
            </w:r>
          </w:p>
        </w:tc>
        <w:tc>
          <w:tcPr>
            <w:tcW w:w="4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Среднее</w:t>
            </w:r>
          </w:p>
        </w:tc>
        <w:tc>
          <w:tcPr>
            <w:tcW w:w="4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Высокое</w:t>
            </w:r>
          </w:p>
        </w:tc>
        <w:tc>
          <w:tcPr>
            <w:tcW w:w="4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Критическое</w:t>
            </w:r>
          </w:p>
        </w:tc>
      </w:tr>
      <w:tr>
        <w:trPr/>
        <w:tc>
          <w:tcPr>
            <w:tcW w:w="30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8E8E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Высокая</w:t>
            </w:r>
          </w:p>
        </w:tc>
        <w:tc>
          <w:tcPr>
            <w:tcW w:w="4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R4, R9</w:t>
            </w:r>
          </w:p>
        </w:tc>
        <w:tc>
          <w:tcPr>
            <w:tcW w:w="4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C7C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R3</w:t>
            </w:r>
          </w:p>
        </w:tc>
        <w:tc>
          <w:tcPr>
            <w:tcW w:w="4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C7C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30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8E8E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Средняя</w:t>
            </w:r>
          </w:p>
        </w:tc>
        <w:tc>
          <w:tcPr>
            <w:tcW w:w="4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R7</w:t>
            </w:r>
          </w:p>
        </w:tc>
        <w:tc>
          <w:tcPr>
            <w:tcW w:w="4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E0B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R1, R6</w:t>
            </w:r>
          </w:p>
        </w:tc>
        <w:tc>
          <w:tcPr>
            <w:tcW w:w="4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C7C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R5</w:t>
            </w:r>
          </w:p>
        </w:tc>
      </w:tr>
      <w:tr>
        <w:trPr/>
        <w:tc>
          <w:tcPr>
            <w:tcW w:w="30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8E8E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Низкая</w:t>
            </w:r>
          </w:p>
        </w:tc>
        <w:tc>
          <w:tcPr>
            <w:tcW w:w="4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R8, R10</w:t>
            </w:r>
          </w:p>
        </w:tc>
        <w:tc>
          <w:tcPr>
            <w:tcW w:w="4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170" w:after="100"/>
        <w:rPr/>
      </w:pPr>
      <w:r>
        <w:rPr>
          <w:rFonts w:eastAsia="Calibri" w:cs="Calibri" w:ascii="Calibri" w:hAnsi="Calibri"/>
        </w:rPr>
        <w:t>4.2. Реестр рисков</w:t>
      </w:r>
    </w:p>
    <w:tbl>
      <w:tblPr>
        <w:tblW w:w="15038" w:type="dxa"/>
        <w:jc w:val="start"/>
        <w:tblInd w:w="0" w:type="dxa"/>
        <w:tblLayout w:type="fixed"/>
        <w:tblCellMar>
          <w:top w:w="16" w:type="dxa"/>
          <w:start w:w="70" w:type="dxa"/>
          <w:bottom w:w="16" w:type="dxa"/>
          <w:end w:w="70" w:type="dxa"/>
        </w:tblCellMar>
      </w:tblPr>
      <w:tblGrid>
        <w:gridCol w:w="499"/>
        <w:gridCol w:w="3350"/>
        <w:gridCol w:w="880"/>
        <w:gridCol w:w="1221"/>
        <w:gridCol w:w="1050"/>
        <w:gridCol w:w="4750"/>
        <w:gridCol w:w="1107"/>
        <w:gridCol w:w="2181"/>
      </w:tblGrid>
      <w:tr>
        <w:trPr>
          <w:tblHeader w:val="true"/>
        </w:trPr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Риск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Вероят.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Влияние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Уровень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Митигация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Владелец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Триггер</w:t>
            </w:r>
          </w:p>
        </w:tc>
      </w:tr>
      <w:tr>
        <w:trPr/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R1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Резкий рост цен на авиабилеты до момента покупки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Средняя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Высокое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E0B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Высокий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Купить билеты в первые три недели плана, до пика спроса; настроить оповещения о цене; при превышении потолка на 20 % сдвигаем даты в пределах ноября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Владислав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Цена выросла на 15 % от целевой</w:t>
            </w:r>
          </w:p>
        </w:tc>
      </w:tr>
      <w:tr>
        <w:trPr/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R2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Загранпаспорт участника заканчивается раньше чем через 6 месяцев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Низкая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Критическое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E0B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Высокий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Проверка сроков в первый день планирования, до любых оплат; при риске — подача на новый паспорт с запасом в 2 месяца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Оба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Срок действия менее 8 месяцев на дату возврата</w:t>
            </w:r>
          </w:p>
        </w:tc>
      </w:tr>
      <w:tr>
        <w:trPr/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R3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Отказ или сбой платежа российской картой за рубежом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Высокая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Высокое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C7C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Критический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Заранее оформить платёжный инструмент, работающий в стране; везти наличными 30 % бюджета; ключевые брони оплатить до вылета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Владислав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Тестовый платёж не проходит</w:t>
            </w:r>
          </w:p>
        </w:tc>
      </w:tr>
      <w:tr>
        <w:trPr/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R4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Отмена полёта на шаре из-за погоды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Высокая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Среднее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E0B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Высокий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Ставить полёт на второй день в Каппадокии, оставляя три дня на перенос; выбирать оператора с бесплатным переносом и возвратом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Владислав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Прогноз ветра выше 8 м/с</w:t>
            </w:r>
          </w:p>
        </w:tc>
      </w:tr>
      <w:tr>
        <w:trPr/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R5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Срыв внутренней стыковки Кайсери — Стамбул перед вылетом домой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Средняя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Критическое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C7CE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Критический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Не брать единый билет со стыковкой менее 4 часов; заложить ночь в Стамбуле перед обратным рейсом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Владислав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Задержка внутреннего рейса более часа</w:t>
            </w:r>
          </w:p>
        </w:tc>
      </w:tr>
      <w:tr>
        <w:trPr/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R6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Болезнь одного из участников до или во время поездки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Средняя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Высокое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E0B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Высокий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Страховка с покрытием 50 000 €; возвратные тарифы на жильё; аптечка с рецептурными препаратами и выписками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Оба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Симптомы за 5 дней до вылета</w:t>
            </w:r>
          </w:p>
        </w:tc>
      </w:tr>
      <w:tr>
        <w:trPr/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R7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Расхождение ожиданий с другом по темпу и наполнению поездки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Средняя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Среднее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Средний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План по дням фиксируем письменно и согласуем до оплат; в каждом городе один день без программы; договорённость о раздельных активностях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Оба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Возражения на этапе согласования плана</w:t>
            </w:r>
          </w:p>
        </w:tc>
      </w:tr>
      <w:tr>
        <w:trPr/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R8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Отмена брони жилья со стороны хозяина в последний момент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Низкая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Высокое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Средний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Бронировать через площадку с гарантией и рейтингом; держать по два запасных варианта на город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Друг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Хозяин не подтверждает бронь за 14 дней</w:t>
            </w:r>
          </w:p>
        </w:tc>
      </w:tr>
      <w:tr>
        <w:trPr/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R9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Перерасход бюджета в поездке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Высокая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Среднее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E0B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Высокий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Резерв 12 % отдельной строкой; общий кошелёк на совместные траты; сверка расходов раз в три дня; резерв расходуется только по согласию обоих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Владислав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Пройдено 60 % бюджета до середины срока</w:t>
            </w:r>
          </w:p>
        </w:tc>
      </w:tr>
      <w:tr>
        <w:trPr/>
        <w:tc>
          <w:tcPr>
            <w:tcW w:w="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R10</w:t>
            </w:r>
          </w:p>
        </w:tc>
        <w:tc>
          <w:tcPr>
            <w:tcW w:w="33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Утрата документов или телефона в поездке</w:t>
            </w:r>
          </w:p>
        </w:tc>
        <w:tc>
          <w:tcPr>
            <w:tcW w:w="8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Низкая</w:t>
            </w:r>
          </w:p>
        </w:tc>
        <w:tc>
          <w:tcPr>
            <w:tcW w:w="122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Высокое</w:t>
            </w:r>
          </w:p>
        </w:tc>
        <w:tc>
          <w:tcPr>
            <w:tcW w:w="10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Средний</w:t>
            </w:r>
          </w:p>
        </w:tc>
        <w:tc>
          <w:tcPr>
            <w:tcW w:w="4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Сканы документов в облаке и офлайн у обоих; бумажная копия брони; контакты консульства в заметках</w:t>
            </w:r>
          </w:p>
        </w:tc>
        <w:tc>
          <w:tcPr>
            <w:tcW w:w="11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Оба</w:t>
            </w:r>
          </w:p>
        </w:tc>
        <w:tc>
          <w:tcPr>
            <w:tcW w:w="218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—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Calibri" w:cs="Calibri"/>
          <w:b/>
          <w:bCs/>
          <w:sz w:val="20"/>
          <w:szCs w:val="20"/>
        </w:rPr>
        <w:t>Принципы, по которым составлена матрица: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У каждого риска есть владелец. Риск без владельца не управляется, он просто записан.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У каждого есть триггер — событие, по которому включается план Б. Без триггера митигация остаётся благим намерением.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Два критических риска, R3 и R5, закрыты переделкой плана, а не смягчением: платёжный контур готовим заранее, перед обратным рейсом ночуем в Стамбуле. Дороже — зато убирает сценарий, где поездка срывается целиком.</w:t>
      </w:r>
    </w:p>
    <w:p>
      <w:pPr>
        <w:pStyle w:val="ListParagraph"/>
        <w:numPr>
          <w:ilvl w:val="0"/>
          <w:numId w:val="1"/>
        </w:numPr>
        <w:spacing w:before="0" w:after="36"/>
        <w:rPr/>
      </w:pPr>
      <w:r>
        <w:rPr>
          <w:rFonts w:eastAsia="Calibri" w:cs="Calibri"/>
          <w:sz w:val="20"/>
          <w:szCs w:val="20"/>
        </w:rPr>
        <w:t>R7 — расхождение ожиданий с другом — риск управленческий, а не логистический. Спор о темпе поездки дешевле провести в сентябре по переписке, чем на четвёртый день в Стамбуле.</w:t>
      </w:r>
    </w:p>
    <w:p>
      <w:pPr>
        <w:pStyle w:val="Heading1"/>
        <w:spacing w:before="170" w:after="100"/>
        <w:rPr/>
      </w:pPr>
      <w:r>
        <w:rPr>
          <w:rFonts w:eastAsia="Calibri" w:cs="Calibri" w:ascii="Calibri" w:hAnsi="Calibri"/>
        </w:rPr>
        <w:t>5. Главное</w:t>
      </w:r>
    </w:p>
    <w:p>
      <w:pPr>
        <w:pStyle w:val="Normal"/>
        <w:spacing w:before="0" w:after="100"/>
        <w:rPr/>
      </w:pPr>
      <w:r>
        <w:rPr>
          <w:rFonts w:eastAsia="Calibri" w:cs="Calibri"/>
          <w:sz w:val="20"/>
          <w:szCs w:val="20"/>
        </w:rPr>
        <w:t>Девятнадцать задач на отпуск вдвоём выглядят избыточно. Но структура та же, что в IT-проекте: критический путь держит дату, деньги и документы проверяются до старта, у каждого риска есть владелец. Разница только в цене ошибки.</w:t>
      </w:r>
    </w:p>
    <w:p>
      <w:pPr>
        <w:pStyle w:val="Normal"/>
        <w:spacing w:before="0" w:after="100"/>
        <w:rPr/>
      </w:pPr>
      <w:r>
        <w:rPr>
          <w:rFonts w:eastAsia="Calibri" w:cs="Calibri"/>
          <w:sz w:val="20"/>
          <w:szCs w:val="20"/>
        </w:rPr>
        <w:t>План ценен не тем, что всё пойдёт по нему. Что-то сломается обязательно: шар не полетит, рейс задержат. Ценно то, что к этому моменту решение уже принято, а деньги на него отложены.</w:t>
      </w:r>
    </w:p>
    <w:sectPr>
      <w:type w:val="nextPage"/>
      <w:pgSz w:orient="landscape" w:w="16838" w:h="11906"/>
      <w:pgMar w:left="900" w:right="900" w:gutter="0" w:header="0" w:top="520" w:footer="0" w:bottom="3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—"/>
      <w:lvlJc w:val="start"/>
      <w:pPr>
        <w:tabs>
          <w:tab w:val="num" w:pos="0"/>
        </w:tabs>
        <w:ind w:start="360" w:hanging="2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/>
    <w:rPr>
      <w:rFonts w:ascii="Calibri" w:hAnsi="Calibri" w:eastAsia="Calibri" w:cs="Calibri"/>
      <w:b/>
      <w:bCs/>
      <w:color w:val="C00000"/>
      <w:sz w:val="30"/>
      <w:szCs w:val="30"/>
    </w:rPr>
  </w:style>
  <w:style w:type="paragraph" w:styleId="Heading2">
    <w:name w:val="heading 2"/>
    <w:basedOn w:val="Style10"/>
    <w:qFormat/>
    <w:pPr/>
    <w:rPr>
      <w:rFonts w:ascii="Calibri" w:hAnsi="Calibri" w:eastAsia="Calibri" w:cs="Calibri"/>
      <w:b/>
      <w:bCs/>
      <w:color w:val="404040"/>
      <w:sz w:val="24"/>
      <w:szCs w:val="24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LibreOffice/26.2.5.2$Windows_X86_64 LibreOffice_project/cd7284b4cbbfeb507e630c1aac019f4157393acb</Application>
  <AppVersion>15.0000</AppVersion>
  <Pages>5</Pages>
  <Words>1430</Words>
  <Characters>7366</Characters>
  <CharactersWithSpaces>8447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2026-08-28T15:35:57Z</dcterms:created>
  <dc:creator>Лицин Владислав Владимирович</dc:creator>
  <dc:description/>
  <dc:language>ru-RU</dc:language>
  <cp:lastModifiedBy/>
  <dcterms:modified xsi:type="dcterms:W3CDTF">2026-08-28T18:47:15Z</dcterms:modified>
  <cp:revision>3</cp:revision>
  <dc:subject/>
  <dc:title>Тестовое задание на позицию «Менеджер IT-проектов» — QSOFT</dc:title>
</cp:coreProperties>
</file>