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A5A5A"/>
          <w:sz w:val="20"/>
        </w:rPr>
        <w:t>AIR / ООО «КСИИ»</w:t>
      </w:r>
    </w:p>
    <w:p>
      <w:pPr>
        <w:spacing w:after="40" w:before="0"/>
      </w:pPr>
      <w:r>
        <w:rPr>
          <w:b/>
          <w:color w:val="1A1A1A"/>
          <w:sz w:val="36"/>
        </w:rPr>
        <w:t>Направления для обсуждения — Ottobock</w:t>
      </w:r>
    </w:p>
    <w:p>
      <w:pPr>
        <w:spacing w:after="320" w:before="0"/>
      </w:pPr>
      <w:r>
        <w:rPr>
          <w:b w:val="0"/>
          <w:color w:val="5A5A5A"/>
          <w:sz w:val="20"/>
        </w:rPr>
        <w:t>Без цен и обязательств. Формат — повод для разговора.</w:t>
      </w:r>
    </w:p>
    <w:p>
      <w:pPr>
        <w:spacing w:after="280" w:before="0"/>
      </w:pPr>
      <w:r>
        <w:rPr>
          <w:b w:val="0"/>
          <w:color w:val="1A1A1A"/>
          <w:sz w:val="21"/>
        </w:rPr>
        <w:t>Ниже — пять направлений, в которых, на наш взгляд, можно усилить проект уже после запуска сайта. Каждое подобрано под конкретную задачу, которую видно из открытых материалов по проекту, а не предложено «вообще».</w:t>
      </w:r>
    </w:p>
    <w:p>
      <w:pPr>
        <w:spacing w:after="80" w:before="280"/>
      </w:pPr>
      <w:r>
        <w:rPr>
          <w:b/>
          <w:color w:val="2A2AE6"/>
          <w:sz w:val="26"/>
        </w:rPr>
        <w:t>1. Рост трафика и SEO-продвижение</w:t>
      </w:r>
    </w:p>
    <w:p>
      <w:pPr>
        <w:spacing w:after="120" w:before="0"/>
      </w:pPr>
      <w:r>
        <w:rPr>
          <w:b w:val="0"/>
          <w:color w:val="1A1A1A"/>
          <w:sz w:val="21"/>
        </w:rPr>
        <w:t>Техническая готовность к индексации — это фундамент, а не сам трафик. Рост посещаемости в несколько раз требует контентной и продвиженческой работы поверх технической базы: SEO-тексты на каталог и карточки товаров, контент-стратегия, работа с видимостью в поиске. Готовы обсудить, как довести проект от «готов к индексации» до «растёт».</w:t>
      </w:r>
    </w:p>
    <w:p>
      <w:pPr>
        <w:spacing w:after="80" w:before="280"/>
      </w:pPr>
      <w:r>
        <w:rPr>
          <w:b/>
          <w:color w:val="2A2AE6"/>
          <w:sz w:val="26"/>
        </w:rPr>
        <w:t>2. Автоматизация индивидуального подбора и согласований</w:t>
      </w:r>
    </w:p>
    <w:p>
      <w:pPr>
        <w:spacing w:after="120" w:before="0"/>
      </w:pPr>
      <w:r>
        <w:rPr>
          <w:b w:val="0"/>
          <w:color w:val="1A1A1A"/>
          <w:sz w:val="21"/>
        </w:rPr>
        <w:t>Часть заказов (особенно там, где нужна индивидуальная конфигурация) неизбежно требует участия менеджера. При росте объёма эта нагрузка растёт пропорционально. ИИ-инструмент, который берёт на себя первичный сбор информации и подготовку заявки к согласованию, снимает рутину с команды и ускоряет путь клиента к решению.</w:t>
      </w:r>
    </w:p>
    <w:p>
      <w:pPr>
        <w:spacing w:after="80" w:before="280"/>
      </w:pPr>
      <w:r>
        <w:rPr>
          <w:b/>
          <w:color w:val="2A2AE6"/>
          <w:sz w:val="26"/>
        </w:rPr>
        <w:t>3. Инструмент для менеджеров: единая база знаний</w:t>
      </w:r>
    </w:p>
    <w:p>
      <w:pPr>
        <w:spacing w:after="120" w:before="0"/>
      </w:pPr>
      <w:r>
        <w:rPr>
          <w:b w:val="0"/>
          <w:color w:val="1A1A1A"/>
          <w:sz w:val="21"/>
        </w:rPr>
        <w:t>Ручных сценариев, которые ложатся на менеджеров, довольно много — от уточнения деталей заказа до сервисных обращений. Единая база знаний с ИИ-поиском (по продукции, регламентам, совместимости) ускоряет ответы команды и снижает разброс в качестве консультаций между сотрудниками.</w:t>
      </w:r>
    </w:p>
    <w:p>
      <w:pPr>
        <w:spacing w:after="80" w:before="280"/>
      </w:pPr>
      <w:r>
        <w:rPr>
          <w:b/>
          <w:color w:val="2A2AE6"/>
          <w:sz w:val="26"/>
        </w:rPr>
        <w:t>4. Локализация видеоматериалов</w:t>
      </w:r>
    </w:p>
    <w:p>
      <w:pPr>
        <w:spacing w:after="120" w:before="0"/>
      </w:pPr>
      <w:r>
        <w:rPr>
          <w:b w:val="0"/>
          <w:color w:val="1A1A1A"/>
          <w:sz w:val="21"/>
        </w:rPr>
        <w:t>Если в продуктовой линейке есть видео на других языках (инструкции, обзоры), их можно локализовать на русский с сохранением голоса и синхронизацией — без пересъёмки. Ускоряет наполнение раздела с видеоинструкциями и обзорами.</w:t>
      </w:r>
    </w:p>
    <w:p>
      <w:pPr>
        <w:spacing w:after="80" w:before="280"/>
      </w:pPr>
      <w:r>
        <w:rPr>
          <w:b/>
          <w:color w:val="2A2AE6"/>
          <w:sz w:val="26"/>
        </w:rPr>
        <w:t>5. Доступность интерфейса</w:t>
      </w:r>
    </w:p>
    <w:p>
      <w:pPr>
        <w:spacing w:after="120" w:before="0"/>
      </w:pPr>
      <w:r>
        <w:rPr>
          <w:b w:val="0"/>
          <w:color w:val="1A1A1A"/>
          <w:sz w:val="21"/>
        </w:rPr>
        <w:t>Для продукции, ориентированной на людей с инвалидностью, доступность сайта — не опция, а часть продукта. Аудит и доработка интерфейса под стандарты доступности (управление с клавиатуры, экранные считыватели, контрастные режимы) может стать заметным отличием на фоне других digital-проектов в этой нише.</w:t>
      </w:r>
    </w:p>
    <w:p>
      <w:pPr>
        <w:spacing w:after="120" w:before="320"/>
      </w:pPr>
      <w:r>
        <w:rPr>
          <w:b w:val="0"/>
          <w:color w:val="5A5A5A"/>
          <w:sz w:val="20"/>
        </w:rPr>
        <w:t>Всё это — направления для разговора, не готовое предложение. Будем рады обсудить, какое из них ближе всего к вашим текущим приоритетам.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