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RUN.ID — Схемы и визуализации бизнес-анализа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Комплект диаграмм: контекст, процессы, последовательности, состояния, модель данных, use case</w:t>
      </w:r>
    </w:p>
    <w:p>
      <w:pPr>
        <w:pStyle w:val="Heading1"/>
        <w:spacing w:after="150" w:before="300"/>
      </w:pPr>
      <w:r>
        <w:t xml:space="preserve">Оглавление диаграмм</w:t>
      </w:r>
    </w:p>
    <w:p>
      <w:pPr>
        <w:spacing w:after="140"/>
      </w:pPr>
      <w:r>
        <w:rPr>
          <w:sz w:val="21"/>
          <w:szCs w:val="21"/>
        </w:rPr>
        <w:t xml:space="preserve">1. Контекстная диаграмма (DFD, Level 0)</w:t>
      </w:r>
    </w:p>
    <w:p>
      <w:pPr>
        <w:spacing w:after="140"/>
      </w:pPr>
      <w:r>
        <w:rPr>
          <w:sz w:val="21"/>
          <w:szCs w:val="21"/>
        </w:rPr>
        <w:t xml:space="preserve">2. Декомпозиция процессов (DFD, Level 1)</w:t>
      </w:r>
    </w:p>
    <w:p>
      <w:pPr>
        <w:spacing w:after="140"/>
      </w:pPr>
      <w:r>
        <w:rPr>
          <w:sz w:val="21"/>
          <w:szCs w:val="21"/>
        </w:rPr>
        <w:t xml:space="preserve">3. Процесс: загрузка и обработка тренировки (.fit/.gpx)</w:t>
      </w:r>
    </w:p>
    <w:p>
      <w:pPr>
        <w:spacing w:after="140"/>
      </w:pPr>
      <w:r>
        <w:rPr>
          <w:sz w:val="21"/>
          <w:szCs w:val="21"/>
        </w:rPr>
        <w:t xml:space="preserve">4. Процесс: оформление цифрового членства и оплата</w:t>
      </w:r>
    </w:p>
    <w:p>
      <w:pPr>
        <w:spacing w:after="140"/>
      </w:pPr>
      <w:r>
        <w:rPr>
          <w:sz w:val="21"/>
          <w:szCs w:val="21"/>
        </w:rPr>
        <w:t xml:space="preserve">5. Диаграмма последовательности: загрузка и парсинг тренировки</w:t>
      </w:r>
    </w:p>
    <w:p>
      <w:pPr>
        <w:spacing w:after="140"/>
      </w:pPr>
      <w:r>
        <w:rPr>
          <w:sz w:val="21"/>
          <w:szCs w:val="21"/>
        </w:rPr>
        <w:t xml:space="preserve">6. Диаграмма последовательности: оплата членства</w:t>
      </w:r>
    </w:p>
    <w:p>
      <w:pPr>
        <w:spacing w:after="140"/>
      </w:pPr>
      <w:r>
        <w:rPr>
          <w:sz w:val="21"/>
          <w:szCs w:val="21"/>
        </w:rPr>
        <w:t xml:space="preserve">7. Диаграмма состояний: обработка тренировки</w:t>
      </w:r>
    </w:p>
    <w:p>
      <w:pPr>
        <w:spacing w:after="140"/>
      </w:pPr>
      <w:r>
        <w:rPr>
          <w:sz w:val="21"/>
          <w:szCs w:val="21"/>
        </w:rPr>
        <w:t xml:space="preserve">8. Диаграмма состояний: статус членства</w:t>
      </w:r>
    </w:p>
    <w:p>
      <w:pPr>
        <w:spacing w:after="140"/>
      </w:pPr>
      <w:r>
        <w:rPr>
          <w:sz w:val="21"/>
          <w:szCs w:val="21"/>
        </w:rPr>
        <w:t xml:space="preserve">9. Диаграмма классов / модель данных (ER)</w:t>
      </w:r>
    </w:p>
    <w:p>
      <w:pPr>
        <w:spacing w:after="140"/>
      </w:pPr>
      <w:r>
        <w:rPr>
          <w:sz w:val="21"/>
          <w:szCs w:val="21"/>
        </w:rPr>
        <w:t xml:space="preserve">10. Диаграмма вариантов использования (Use Case Overview)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Контекстная диаграмма (DFD, Level 0)</w:t>
      </w:r>
    </w:p>
    <w:p>
      <w:pPr>
        <w:spacing w:after="140"/>
      </w:pPr>
      <w:r>
        <w:rPr>
          <w:sz w:val="21"/>
          <w:szCs w:val="21"/>
        </w:rPr>
        <w:t xml:space="preserve">Показывает границы системы RUN.ID и её взаимодействие с внешними сущностями. Интеграция с Toplist.run/S10.run показана пунктиром как элемент вне периметра MVP (см. FRS, раздел «За пределами первого релиза»).</w:t>
      </w:r>
    </w:p>
    <w:p>
      <w:pPr>
        <w:jc w:val="center"/>
      </w:pPr>
      <w:r>
        <w:drawing>
          <wp:inline distT="0" distB="0" distL="0" distR="0">
            <wp:extent cx="904875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19"/>
          <w:szCs w:val="19"/>
        </w:rPr>
        <w:t xml:space="preserve">Диаграмма 1. Context Diagram (DFD Level 0) — RUN.ID и внешние сущности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Декомпозиция процессов (DFD, Level 1)</w:t>
      </w:r>
    </w:p>
    <w:p>
      <w:pPr>
        <w:spacing w:after="140"/>
      </w:pPr>
      <w:r>
        <w:rPr>
          <w:sz w:val="21"/>
          <w:szCs w:val="21"/>
        </w:rPr>
        <w:t xml:space="preserve">Раскрывает систему RUN.ID на 7 логических процессов и связанные с ними хранилища данных. Соответствует функциональным блокам MVP из BRD/FRS.</w:t>
      </w:r>
    </w:p>
    <w:p>
      <w:pPr>
        <w:jc w:val="center"/>
      </w:pPr>
      <w:r>
        <w:drawing>
          <wp:inline distT="0" distB="0" distL="0" distR="0">
            <wp:extent cx="904875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19"/>
          <w:szCs w:val="19"/>
        </w:rPr>
        <w:t xml:space="preserve">Диаграмма 2. DFD Level 1 — декомпозиция на процессы 1.0–7.0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Процесс: загрузка и обработка тренировки</w:t>
      </w:r>
    </w:p>
    <w:p>
      <w:pPr>
        <w:spacing w:after="140"/>
      </w:pPr>
      <w:r>
        <w:rPr>
          <w:sz w:val="21"/>
          <w:szCs w:val="21"/>
        </w:rPr>
        <w:t xml:space="preserve">Пошаговый процесс от экспорта файла с часов до появления обработанной тренировки в профиле и ленте. Соответствует use case UC-02 и user story «Загрузка тренировки».</w:t>
      </w:r>
    </w:p>
    <w:p>
      <w:pPr>
        <w:jc w:val="center"/>
      </w:pPr>
      <w:r>
        <w:drawing>
          <wp:inline distT="0" distB="0" distL="0" distR="0">
            <wp:extent cx="203835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19"/>
          <w:szCs w:val="19"/>
        </w:rPr>
        <w:t xml:space="preserve">Диаграмма 3. Процесс загрузки и обработки .fit/.gpx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Процесс: оформление цифрового членства и оплата</w:t>
      </w:r>
    </w:p>
    <w:p>
      <w:pPr>
        <w:spacing w:after="140"/>
      </w:pPr>
      <w:r>
        <w:rPr>
          <w:sz w:val="21"/>
          <w:szCs w:val="21"/>
        </w:rPr>
        <w:t xml:space="preserve">Показывает шаги оформления членства от нажатия кнопки до активации доступа к каталогу привилегий, включая ветку отказа платежа. Соответствует use case UC-05.</w:t>
      </w:r>
    </w:p>
    <w:p>
      <w:pPr>
        <w:jc w:val="center"/>
      </w:pPr>
      <w:r>
        <w:drawing>
          <wp:inline distT="0" distB="0" distL="0" distR="0">
            <wp:extent cx="1781175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19"/>
          <w:szCs w:val="19"/>
        </w:rPr>
        <w:t xml:space="preserve">Диаграмма 4. Процесс оформления членства и оплаты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Диаграмма последовательности: загрузка и парсинг тренировки</w:t>
      </w:r>
    </w:p>
    <w:p>
      <w:pPr>
        <w:spacing w:after="140"/>
      </w:pPr>
      <w:r>
        <w:rPr>
          <w:sz w:val="21"/>
          <w:szCs w:val="21"/>
        </w:rPr>
        <w:t xml:space="preserve">Детализирует техническое взаимодействие компонентов (frontend, backend, очередь, парсер, БД) при обработке загруженного файла тренировки.</w:t>
      </w:r>
    </w:p>
    <w:p>
      <w:pPr>
        <w:jc w:val="center"/>
      </w:pPr>
      <w:r>
        <w:drawing>
          <wp:inline distT="0" distB="0" distL="0" distR="0">
            <wp:extent cx="904875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19"/>
          <w:szCs w:val="19"/>
        </w:rPr>
        <w:t xml:space="preserve">Диаграмма 5. Sequence Diagram — загрузка и обработка .fit/.gpx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Диаграмма последовательности: оплата членства</w:t>
      </w:r>
    </w:p>
    <w:p>
      <w:pPr>
        <w:spacing w:after="140"/>
      </w:pPr>
      <w:r>
        <w:rPr>
          <w:sz w:val="21"/>
          <w:szCs w:val="21"/>
        </w:rPr>
        <w:t xml:space="preserve">Детализирует взаимодействие с платёжным шлюзом (ЮKassa/Robokassa), включая обработку webhook-уведомления об успешной оплате.</w:t>
      </w:r>
    </w:p>
    <w:p>
      <w:pPr>
        <w:jc w:val="center"/>
      </w:pPr>
      <w:r>
        <w:drawing>
          <wp:inline distT="0" distB="0" distL="0" distR="0">
            <wp:extent cx="840105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0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19"/>
          <w:szCs w:val="19"/>
        </w:rPr>
        <w:t xml:space="preserve">Диаграмма 6. Sequence Diagram — оплата цифрового членства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Диаграмма состояний: обработка тренировки</w:t>
      </w:r>
    </w:p>
    <w:p>
      <w:pPr>
        <w:spacing w:after="140"/>
      </w:pPr>
      <w:r>
        <w:rPr>
          <w:sz w:val="21"/>
          <w:szCs w:val="21"/>
        </w:rPr>
        <w:t xml:space="preserve">Жизненный цикл статуса тренировки от момента загрузки файла до финального состояния (обработана / ошибка / дубликат).</w:t>
      </w:r>
    </w:p>
    <w:p>
      <w:pPr>
        <w:jc w:val="center"/>
      </w:pPr>
      <w:r>
        <w:drawing>
          <wp:inline distT="0" distB="0" distL="0" distR="0">
            <wp:extent cx="512445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19"/>
          <w:szCs w:val="19"/>
        </w:rPr>
        <w:t xml:space="preserve">Диаграмма 7. State Diagram — статус обработки тренировки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Диаграмма состояний: статус членства</w:t>
      </w:r>
    </w:p>
    <w:p>
      <w:pPr>
        <w:spacing w:after="140"/>
      </w:pPr>
      <w:r>
        <w:rPr>
          <w:sz w:val="21"/>
          <w:szCs w:val="21"/>
        </w:rPr>
        <w:t xml:space="preserve">Жизненный цикл цифрового членства RUN.ID — от отсутствия членства до активного статуса и последующего продления.</w:t>
      </w:r>
    </w:p>
    <w:p>
      <w:pPr>
        <w:jc w:val="center"/>
      </w:pPr>
      <w:r>
        <w:drawing>
          <wp:inline distT="0" distB="0" distL="0" distR="0">
            <wp:extent cx="37719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19"/>
          <w:szCs w:val="19"/>
        </w:rPr>
        <w:t xml:space="preserve">Диаграмма 8. State Diagram — статус цифрового членства</w:t>
      </w:r>
    </w:p>
    <w:p>
      <w:r>
        <w:br w:type="page"/>
      </w:r>
    </w:p>
    <w:p>
      <w:pPr>
        <w:pStyle w:val="Heading1"/>
        <w:spacing w:after="150" w:before="300"/>
      </w:pPr>
      <w:r>
        <w:t xml:space="preserve">9. Диаграмма классов / модель данных (ER)</w:t>
      </w:r>
    </w:p>
    <w:p>
      <w:pPr>
        <w:spacing w:after="140"/>
      </w:pPr>
      <w:r>
        <w:rPr>
          <w:sz w:val="21"/>
          <w:szCs w:val="21"/>
        </w:rPr>
        <w:t xml:space="preserve">Концептуальная модель ключевых сущностей MVP и связей между ними. Используется как основа для проектирования схемы PostgreSQL (см. FRS, раздел «Data Requirements»).</w:t>
      </w:r>
    </w:p>
    <w:p>
      <w:pPr>
        <w:jc w:val="center"/>
      </w:pPr>
      <w:r>
        <w:drawing>
          <wp:inline distT="0" distB="0" distL="0" distR="0">
            <wp:extent cx="8258175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81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19"/>
          <w:szCs w:val="19"/>
        </w:rPr>
        <w:t xml:space="preserve">Диаграмма 9. Class Diagram — концептуальная модель данных RUN.ID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10. Диаграмма вариантов использования (Use Case Overview)</w:t>
      </w:r>
    </w:p>
    <w:p>
      <w:pPr>
        <w:spacing w:after="140"/>
      </w:pPr>
      <w:r>
        <w:rPr>
          <w:sz w:val="21"/>
          <w:szCs w:val="21"/>
        </w:rPr>
        <w:t xml:space="preserve">Обзорная диаграмма всех вариантов использования MVP и их связь с актором «Бегун» и внешней системой «Платёжный шлюз». Детальные формальные use case см. в разделе «Use Cases» основного документа бизнес-анализа.</w:t>
      </w:r>
    </w:p>
    <w:p>
      <w:pPr>
        <w:jc w:val="center"/>
      </w:pPr>
      <w:r>
        <w:drawing>
          <wp:inline distT="0" distB="0" distL="0" distR="0">
            <wp:extent cx="2162175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80"/>
        <w:jc w:val="center"/>
      </w:pPr>
      <w:r>
        <w:rPr>
          <w:i/>
          <w:iCs/>
          <w:color w:val="555555"/>
          <w:sz w:val="19"/>
          <w:szCs w:val="19"/>
        </w:rPr>
        <w:t xml:space="preserve">Диаграмма 10. Use Case Overview — варианты использования MVP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763b9f8516ffc046c9405e170517a2d6f9fd65.png"/><Relationship Id="rId8" Type="http://schemas.openxmlformats.org/officeDocument/2006/relationships/image" Target="media/378cff604efa1d6ecf860637607e92a3e914c3a6.png"/><Relationship Id="rId9" Type="http://schemas.openxmlformats.org/officeDocument/2006/relationships/image" Target="media/1984690c47f5f4426f70d2661aa3505ef0ac8af3.png"/><Relationship Id="rId10" Type="http://schemas.openxmlformats.org/officeDocument/2006/relationships/image" Target="media/c43b8048ec245903bdc87266a3867870c1d99bc6.png"/><Relationship Id="rId11" Type="http://schemas.openxmlformats.org/officeDocument/2006/relationships/image" Target="media/c7096e73c9744db3f7864e284ced75c06e70a1ef.png"/><Relationship Id="rId12" Type="http://schemas.openxmlformats.org/officeDocument/2006/relationships/image" Target="media/d65d7dafb9d44468df523e0ff9e767d60d5f2fad.png"/><Relationship Id="rId13" Type="http://schemas.openxmlformats.org/officeDocument/2006/relationships/image" Target="media/6fcdbffff0e34e3c6086f78c446af461040685d3.png"/><Relationship Id="rId14" Type="http://schemas.openxmlformats.org/officeDocument/2006/relationships/image" Target="media/5ee5b974aa36e53e531b24b92c52e448aa3a1db0.png"/><Relationship Id="rId15" Type="http://schemas.openxmlformats.org/officeDocument/2006/relationships/image" Target="media/523f5c9a8fef9dafeb799a42b0dd4a64e8f6a33f.png"/><Relationship Id="rId16" Type="http://schemas.openxmlformats.org/officeDocument/2006/relationships/image" Target="media/f83a3baee9831bd07c057f3f622eff2546e4abae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2026-07-17T10:38:43.024Z</dcterms:created>
  <dcterms:modified xsi:type="dcterms:W3CDTF">2026-07-17T10:38:43.025Z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