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56"/>
          <w:szCs w:val="56"/>
        </w:rPr>
        <w:t xml:space="preserve">Knowledge Graph Encryption</w:t>
      </w:r>
    </w:p>
    <w:p>
      <w:pPr>
        <w:spacing w:after="120"/>
        <w:jc w:val="center"/>
      </w:pPr>
      <w:r>
        <w:rPr>
          <w:sz w:val="28"/>
          <w:szCs w:val="28"/>
        </w:rPr>
        <w:t xml:space="preserve">Design and Implementation Plan for the CompanionshipChatBot Memory Layer</w:t>
      </w:r>
    </w:p>
    <w:p>
      <w:pPr>
        <w:spacing w:after="80"/>
        <w:jc w:val="center"/>
      </w:pPr>
      <w:r>
        <w:rPr>
          <w:i/>
          <w:iCs/>
          <w:sz w:val="24"/>
          <w:szCs w:val="24"/>
        </w:rPr>
        <w:t xml:space="preserve">Version 1.0</w:t>
      </w:r>
    </w:p>
    <w:p>
      <w:pPr>
        <w:spacing w:after="1200"/>
        <w:jc w:val="center"/>
      </w:pPr>
      <w:r>
        <w:rPr>
          <w:i/>
          <w:iCs/>
          <w:sz w:val="24"/>
          <w:szCs w:val="24"/>
        </w:rPr>
        <w:t xml:space="preserve">April 2026</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1. Overview</w:t>
      </w:r>
    </w:p>
    <w:p>
      <w:pPr>
        <w:spacing w:after="120"/>
      </w:pPr>
      <w:r>
        <w:t xml:space="preserve">This document describes how the CompanionshipChatBot knowledge graph (KG) should be encrypted. The KG stores user disclosures from a mental health companion app, which is special category personal data under GDPR Article 9 and Protected Health Information under HIPAA. The encryption design balances three forces: confidentiality of the user's content, the system's operational need to deduplicate and retrieve facts, and the long term auditability of the bi-temporal model.</w:t>
      </w:r>
    </w:p>
    <w:p>
      <w:pPr>
        <w:spacing w:after="120"/>
      </w:pPr>
      <w:r>
        <w:t xml:space="preserve">The plan is staged in four layers, ordered from cheapest to most invasive. The first two layers are configuration and deployment work. The third layer is application level field encryption and is where most of the engineering effort lives. The fourth layer is structural and addresses the fact that the shape of the graph leaks information even when every property is ciphertext.</w:t>
      </w:r>
    </w:p>
    <w:p>
      <w:pPr>
        <w:spacing w:after="120"/>
      </w:pPr>
      <w:r>
        <w:t xml:space="preserve">This document is intended for implementers. Every recommendation is justified by either an architectural constraint we have already adopted (notably ADR 002 and the bi-temporal Graphiti edge model) or by a peer reviewed paper, listed in Section 8.</w:t>
      </w:r>
    </w:p>
    <w:p>
      <w:pPr>
        <w:pStyle w:val="Heading1"/>
        <w:spacing w:after="200" w:before="360"/>
      </w:pPr>
      <w:r>
        <w:t xml:space="preserve">2. Threat Model</w:t>
      </w:r>
    </w:p>
    <w:p>
      <w:pPr>
        <w:spacing w:after="120"/>
      </w:pPr>
      <w:r>
        <w:t xml:space="preserve">The threat model for a mental health knowledge graph is broader than for a typical SaaS database. The risks include the standard ones (database stolen, dump leaked) but also several that the standard layered defenses do not address.</w:t>
      </w:r>
    </w:p>
    <w:p>
      <w:pPr>
        <w:pStyle w:val="Heading2"/>
        <w:spacing w:after="160" w:before="280"/>
      </w:pPr>
      <w:r>
        <w:t xml:space="preserve">2.1 Adversaries</w:t>
      </w:r>
    </w:p>
    <w:p>
      <w:pPr>
        <w:pStyle w:val="ListParagraph"/>
        <w:numPr>
          <w:ilvl w:val="0"/>
          <w:numId w:val="2"/>
        </w:numPr>
        <w:spacing w:after="80"/>
      </w:pPr>
      <w:r>
        <w:t xml:space="preserve">External attacker with read access to a stolen backup or compromised volume.</w:t>
      </w:r>
    </w:p>
    <w:p>
      <w:pPr>
        <w:pStyle w:val="ListParagraph"/>
        <w:numPr>
          <w:ilvl w:val="0"/>
          <w:numId w:val="2"/>
        </w:numPr>
        <w:spacing w:after="80"/>
      </w:pPr>
      <w:r>
        <w:t xml:space="preserve">Malicious or curious operator with administrative access to the production database.</w:t>
      </w:r>
    </w:p>
    <w:p>
      <w:pPr>
        <w:pStyle w:val="ListParagraph"/>
        <w:numPr>
          <w:ilvl w:val="0"/>
          <w:numId w:val="2"/>
        </w:numPr>
        <w:spacing w:after="80"/>
      </w:pPr>
      <w:r>
        <w:t xml:space="preserve">Compromised application service with read or write access to the live database via legitimate credentials.</w:t>
      </w:r>
    </w:p>
    <w:p>
      <w:pPr>
        <w:pStyle w:val="ListParagraph"/>
        <w:numPr>
          <w:ilvl w:val="0"/>
          <w:numId w:val="2"/>
        </w:numPr>
        <w:spacing w:after="80"/>
      </w:pPr>
      <w:r>
        <w:t xml:space="preserve">Third party LLM or embedding provider receiving prompts that contain user content.</w:t>
      </w:r>
    </w:p>
    <w:p>
      <w:pPr>
        <w:pStyle w:val="ListParagraph"/>
        <w:numPr>
          <w:ilvl w:val="0"/>
          <w:numId w:val="2"/>
        </w:numPr>
        <w:spacing w:after="80"/>
      </w:pPr>
      <w:r>
        <w:t xml:space="preserve">Researcher or analyst querying derived datasets exported for analytics.</w:t>
      </w:r>
    </w:p>
    <w:p>
      <w:pPr>
        <w:pStyle w:val="Heading2"/>
        <w:spacing w:after="160" w:before="280"/>
      </w:pPr>
      <w:r>
        <w:t xml:space="preserve">2.2 Risks Particular to a KG</w:t>
      </w:r>
    </w:p>
    <w:p>
      <w:pPr>
        <w:spacing w:after="120"/>
      </w:pPr>
      <w:r>
        <w:t xml:space="preserve">Embedding inversion. A stored embedding vector is not opaque. Recent work has demonstrated practical reconstruction of substantial fragments of the original text from sentence embeddings (Song and Raghunathan, 2020). Treating the embedding column as inert numeric metadata is therefore unsafe.</w:t>
      </w:r>
    </w:p>
    <w:p>
      <w:pPr>
        <w:spacing w:after="120"/>
      </w:pPr>
      <w:r>
        <w:t xml:space="preserve">Structural deanonymization. The shape of the graph (which nodes connect, which labels appear, the cardinality of edges) leaks topical information even when every property is encrypted. Narayanan and Shmatikov (2009) showed that structural deanonymization is feasible against real anonymized social graphs. Mental health KGs are smaller and more identifying.</w:t>
      </w:r>
    </w:p>
    <w:p>
      <w:pPr>
        <w:spacing w:after="120"/>
      </w:pPr>
      <w:r>
        <w:t xml:space="preserve">Frequency leakage from deterministic encryption. If a free text field such as a thought description is encrypted with a deterministic scheme, the attacker observes how often each ciphertext appears. For mental health data this trivially identifies recurring distortions, common triggers, and other clinically relevant patterns.</w:t>
      </w:r>
    </w:p>
    <w:p>
      <w:pPr>
        <w:spacing w:after="120"/>
      </w:pPr>
      <w:r>
        <w:t xml:space="preserve">Provenance leakage. The bi-temporal model preserves invalidated edges for audit. Without care, an attacker reading the audit trail can reconstruct content the user has explicitly deleted.</w:t>
      </w:r>
    </w:p>
    <w:p>
      <w:pPr>
        <w:pStyle w:val="Heading1"/>
        <w:spacing w:after="200" w:before="360"/>
      </w:pPr>
      <w:r>
        <w:t xml:space="preserve">3. The Four Layer Scheme</w:t>
      </w:r>
    </w:p>
    <w:p>
      <w:pPr>
        <w:spacing w:after="120"/>
      </w:pPr>
      <w:r>
        <w:t xml:space="preserve">The defense is layered. Each layer addresses a distinct adversary; no single layer is sufficient on its own.</w:t>
      </w:r>
    </w:p>
    <w:p>
      <w:pPr>
        <w:pStyle w:val="Heading2"/>
        <w:spacing w:after="160" w:before="280"/>
      </w:pPr>
      <w:r>
        <w:t xml:space="preserve">3.1 Layer 1, Transport</w:t>
      </w:r>
    </w:p>
    <w:p>
      <w:pPr>
        <w:spacing w:after="120"/>
      </w:pPr>
      <w:r>
        <w:t xml:space="preserve">All Bolt traffic between application services and Neo4j must run over TLS 1.3. Mutual TLS is required between the Go memory service and Neo4j; client certificates are issued by the cluster CA and rotated automatically. This layer addresses the network attacker.</w:t>
      </w:r>
    </w:p>
    <w:p>
      <w:pPr>
        <w:pStyle w:val="Heading2"/>
        <w:spacing w:after="160" w:before="280"/>
      </w:pPr>
      <w:r>
        <w:t xml:space="preserve">3.2 Layer 2, Storage at Rest</w:t>
      </w:r>
    </w:p>
    <w:p>
      <w:pPr>
        <w:spacing w:after="120"/>
      </w:pPr>
      <w:r>
        <w:t xml:space="preserve">The Neo4j data volume is encrypted with full disk encryption (LUKS on Linux, native disk encryption on managed platforms). Backups are encrypted with a separate key and shipped to immutable storage. This layer addresses media theft and improper disposal of disks. It does nothing against an operator with administrative access to a running instance.</w:t>
      </w:r>
    </w:p>
    <w:p>
      <w:pPr>
        <w:pStyle w:val="Heading2"/>
        <w:spacing w:after="160" w:before="280"/>
      </w:pPr>
      <w:r>
        <w:t xml:space="preserve">3.3 Layer 3, Application Level Field Encryption</w:t>
      </w:r>
    </w:p>
    <w:p>
      <w:pPr>
        <w:spacing w:after="120"/>
      </w:pPr>
      <w:r>
        <w:t xml:space="preserve">Sensitive properties are encrypted by the Python writer service before they enter Neo4j and decrypted by the reader service on the way out. The database stores ciphertext only; an operator reading the property values sees opaque blobs.</w:t>
      </w:r>
    </w:p>
    <w:p>
      <w:pPr>
        <w:spacing w:after="120"/>
      </w:pPr>
      <w:r>
        <w:t xml:space="preserve">The recommended primitive is AES-256-GCM with envelope encryption. Each user has their own data encryption key (DEK). The DEK is wrapped under a key encryption key (KEK) held in a key management service (KMS) such as AWS KMS, Google Cloud KMS, or HashiCorp Vault. The KMS is the only place the KEK lives in plaintext. The application service fetches the wrapped DEK on first use, unwraps it with one KMS call, caches the unwrapped DEK in memory for the session, and zeroes the buffer at session end.</w:t>
      </w:r>
    </w:p>
    <w:p>
      <w:pPr>
        <w:spacing w:after="120"/>
      </w:pPr>
      <w:r>
        <w:t xml:space="preserve">Properties that need equality based deduplication (for example Trigger.category, which uses substring match in the writer) are encrypted with a deterministic scheme such as AES-SIV. Deterministic encryption preserves the equality relation (same plaintext yields same ciphertext) at the cost of revealing how often each value appears. This tradeoff is acceptable for low cardinality categorical fields and unacceptable for free text. The CryptDB onion model (Popa et al., 2011) provides the design pattern for choosing a per column scheme based on the queries actually issued.</w:t>
      </w:r>
    </w:p>
    <w:p>
      <w:pPr>
        <w:spacing w:after="120"/>
      </w:pPr>
      <w:r>
        <w:t xml:space="preserve">The literature on searchable symmetric encryption (Curtmola et al., 2006) provides the formal security definitions (IND-CKA1, IND-CKA2) that justify why a hybrid of AES-GCM (for confidentiality of free text) and AES-SIV (for equality on enumerable values) is sound.</w:t>
      </w:r>
    </w:p>
    <w:p>
      <w:pPr>
        <w:pStyle w:val="Heading2"/>
        <w:spacing w:after="160" w:before="280"/>
      </w:pPr>
      <w:r>
        <w:t xml:space="preserve">3.4 Layer 4, Structural Privacy</w:t>
      </w:r>
    </w:p>
    <w:p>
      <w:pPr>
        <w:spacing w:after="120"/>
      </w:pPr>
      <w:r>
        <w:t xml:space="preserve">Even after every property is ciphertext, the graph shape remains informative. A User connected to many Trigger nodes whose category ciphertext appears across many other users tells the operator that the category is common. Two countermeasures apply.</w:t>
      </w:r>
    </w:p>
    <w:p>
      <w:pPr>
        <w:spacing w:after="120"/>
      </w:pPr>
      <w:r>
        <w:t xml:space="preserve">For aggregate exports leaving the operational system (research datasets, analytics dashboards), apply k-anonymity (Sweeney, 2002) or l-diversity (Machanavajjhala et al., 2007) before publishing. For aggregate counts that leave the system at all, add differentially private noise (Dwork, 2006). The amount of noise depends on the privacy budget; Dwork and Roth (2014) provides the formal accounting.</w:t>
      </w:r>
    </w:p>
    <w:p>
      <w:pPr>
        <w:spacing w:after="120"/>
      </w:pPr>
      <w:r>
        <w:t xml:space="preserve">Pseudonymize User.id. The identifier stored in the KG is an opaque token; the mapping from token to real user PII is held in a separate, more strictly access controlled vault that the Python service cannot read. Per ADR 002, the Go service already owns User CRUD; the Python writers never see a name.</w:t>
      </w:r>
    </w:p>
    <w:p>
      <w:pPr>
        <w:pStyle w:val="Heading1"/>
        <w:spacing w:after="200" w:before="360"/>
      </w:pPr>
      <w:r>
        <w:t xml:space="preserve">4. Field Categorization</w:t>
      </w:r>
    </w:p>
    <w:p>
      <w:pPr>
        <w:spacing w:after="120"/>
      </w:pPr>
      <w:r>
        <w:t xml:space="preserve">The following table lists every property currently written by the kg_writer package, classifies it by encryption scheme, and notes the operational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160"/>
      </w:tblGrid>
      <w:tr>
        <w:trPr>
          <w:tblHeader/>
        </w:trPr>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Node and Property</w:t>
            </w:r>
          </w:p>
        </w:tc>
        <w:tc>
          <w:tcPr>
            <w:tcW w:type="dxa" w:w="22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Sensitivity</w:t>
            </w:r>
          </w:p>
        </w:tc>
        <w:tc>
          <w:tcPr>
            <w:tcW w:type="dxa" w:w="18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Scheme</w:t>
            </w:r>
          </w:p>
        </w:tc>
        <w:tc>
          <w:tcPr>
            <w:tcW w:type="dxa" w:w="31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rPr>
              <w:t xml:space="preserve">Reason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Emotion.source_text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(free text)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AES-GCM</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Direct quote from the user. No equality query.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Thought.content</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(free text)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AES-GCM</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Cognitive disclosure. Dedup is by cosine on embedding, not equality on text.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Experience.description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(free text)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AES-GCM</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Situation description. Same dedup model as Thought.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Trigger.description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(free text)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AES-GCM</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Although Trigger uses a substring keyword for dedup, the keyword check is best moved client side after decryption.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Behavior.description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(free text)</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AES-GCM</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Same as Trigger.description.</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Memory.summary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Critical (synthesized)</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AES-GCM</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Compressed session summary. Includes the most retrieval relevant content; encrypt at rest.</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Person.name</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(PII)</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AES-SIV (deterministic)</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MERGE keys on (owner_user_id, name). Deterministic encryption preserves the MERGE while hiding the value.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Trigger.category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(categorical)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AES-SIV (deterministic)</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Small alphabet, equality dedup. Deterministic is acceptable.</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Behavior.category</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(categorical)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AES-SIV (deterministic)</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Same as Trigger.category.</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Emotion.label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(categorical)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AES-SIV (deterministic)</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Limited vocabulary, supports cohort queries.</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Thought.distortion</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Medium (categorical)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AES-SIV (deterministic)</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Closed set of 10 distortion types per the schema doc.</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All embedding fields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High (reverse engineerable)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See Section 5</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Tradeoff between dedup convenience and confidentiality. Discussed at length below.</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Structural fields (id, t_valid, etc.)</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Low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None</w:t>
            </w:r>
          </w:p>
        </w:tc>
        <w:tc>
          <w:tcPr>
            <w:tcW w:type="dxa" w:w="316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Required in the clear by the bi-temporal model, the lifecycle module, and the decay job.</w:t>
            </w:r>
          </w:p>
        </w:tc>
      </w:tr>
    </w:tbl>
    <w:p>
      <w:pPr>
        <w:spacing w:after="120"/>
      </w:pPr>
      <w:r>
        <w:t xml:space="preserve">The general rule. Encrypt content. Leave structure. Anything that names what the user said gets AES-GCM. Anything that the dedup or audit machinery has to read in plaintext stays plaintext. Categorical enums in between get AES-SIV when they need equality and AES-GCM when they do not.</w:t>
      </w:r>
    </w:p>
    <w:p>
      <w:pPr>
        <w:pStyle w:val="Heading1"/>
        <w:spacing w:after="200" w:before="360"/>
      </w:pPr>
      <w:r>
        <w:t xml:space="preserve">5. The Embedding Tradeoff</w:t>
      </w:r>
    </w:p>
    <w:p>
      <w:pPr>
        <w:spacing w:after="120"/>
      </w:pPr>
      <w:r>
        <w:t xml:space="preserve">Embeddings are the operational backbone of dedup. The _find_similar_node helper in agentic/memory/kg_writer/_common.py runs Cypher with vector.similarity.cosine, which executes server side on the plaintext vector. Standard randomized encryption (AES-GCM) breaks this query. Three options exist, and they are sequenceable: implement the simplest first, escalate only if the threat model warrants.</w:t>
      </w:r>
    </w:p>
    <w:p>
      <w:pPr>
        <w:pStyle w:val="Heading2"/>
        <w:spacing w:after="160" w:before="280"/>
      </w:pPr>
      <w:r>
        <w:t xml:space="preserve">5.1 Option A. Plaintext embeddings, isolated volume</w:t>
      </w:r>
    </w:p>
    <w:p>
      <w:pPr>
        <w:spacing w:after="120"/>
      </w:pPr>
      <w:r>
        <w:t xml:space="preserve">Keep embeddings in plaintext. Store them on a Neo4j volume separate from the textual content volume so a single leak does not yield both. Audit every read of the embedding column. Acceptable for v1 because the textual content (the most direct disclosure) is encrypted at Layer 3, and embedding inversion (Song and Raghunathan, 2020) is a research grade attack rather than an operational one.</w:t>
      </w:r>
    </w:p>
    <w:p>
      <w:pPr>
        <w:pStyle w:val="Heading2"/>
        <w:spacing w:after="160" w:before="280"/>
      </w:pPr>
      <w:r>
        <w:t xml:space="preserve">5.2 Option B. Encrypted embeddings, client side cosine</w:t>
      </w:r>
    </w:p>
    <w:p>
      <w:pPr>
        <w:spacing w:after="120"/>
      </w:pPr>
      <w:r>
        <w:t xml:space="preserve">Encrypt the embedding column with AES-GCM at the application layer. The dedup helper changes shape: it pulls candidate ciphertext vectors back to the Python service, decrypts them locally, runs cosine in NumPy, and returns the chosen id. The cost is one extra round trip per write. The benefit is full cryptographic protection of the embedding column. The _find_similar_node interface stays the same; the Cypher inside it changes.</w:t>
      </w:r>
    </w:p>
    <w:p>
      <w:pPr>
        <w:pStyle w:val="Heading2"/>
        <w:spacing w:after="160" w:before="280"/>
      </w:pPr>
      <w:r>
        <w:t xml:space="preserve">5.3 Option C. Encrypted graph similarity</w:t>
      </w:r>
    </w:p>
    <w:p>
      <w:pPr>
        <w:spacing w:after="120"/>
      </w:pPr>
      <w:r>
        <w:t xml:space="preserve">If the database operator is genuinely untrusted (for example the system is hosted on a third party managed Neo4j), move to a privacy preserving similarity protocol. Chase and Kamara (2010) describe structured encryption: encrypt the graph such that an authorized query reveals only the answer and the access pattern. Meng et al. (2015) show practical encrypted shortest distance queries (the GRECS construction). Heavy. Probably never needed for this product.</w:t>
      </w:r>
    </w:p>
    <w:p>
      <w:pPr>
        <w:pStyle w:val="Heading2"/>
        <w:spacing w:after="160" w:before="280"/>
      </w:pPr>
      <w:r>
        <w:t xml:space="preserve">5.4 Recommended sequencing</w:t>
      </w:r>
    </w:p>
    <w:p>
      <w:pPr>
        <w:spacing w:after="120"/>
      </w:pPr>
      <w:r>
        <w:t xml:space="preserve">Ship Option A in v1 alongside Layer 3 field encryption. Reassess after the production deployment is stable; if the audit reveals operator queries on the embedding column that look like inversion attempts, escalate to Option B. Keep Option C in mind only if the deployment model changes to truly untrusted infrastructure.</w:t>
      </w:r>
    </w:p>
    <w:p>
      <w:pPr>
        <w:pStyle w:val="Heading1"/>
        <w:spacing w:after="200" w:before="360"/>
      </w:pPr>
      <w:r>
        <w:t xml:space="preserve">6. Implementation Plan</w:t>
      </w:r>
    </w:p>
    <w:p>
      <w:pPr>
        <w:spacing w:after="120"/>
      </w:pPr>
      <w:r>
        <w:t xml:space="preserve">The least invasive path is to keep the encryption logic in one module behind a stable interface, then wire it through the writers and readers via _common.py. The writer call sites do not have to know that encryption exists.</w:t>
      </w:r>
    </w:p>
    <w:p>
      <w:pPr>
        <w:pStyle w:val="Heading2"/>
        <w:spacing w:after="160" w:before="280"/>
      </w:pPr>
      <w:r>
        <w:t xml:space="preserve">6.1 Module layout</w:t>
      </w:r>
    </w:p>
    <w:p>
      <w:pPr>
        <w:shd w:fill="F2F2F2" w:val="clear"/>
        <w:spacing w:after="120" w:before="80"/>
      </w:pPr>
      <w:r>
        <w:rPr>
          <w:rFonts w:ascii="Consolas" w:cs="Consolas" w:eastAsia="Consolas" w:hAnsi="Consolas"/>
          <w:sz w:val="20"/>
          <w:szCs w:val="20"/>
        </w:rPr>
        <w:t xml:space="preserve">agentic/memory/encryption/
├── __init__.py        public facade
├── primitives.py      AES-GCM and AES-SIV wrappers
├── keys.py            DEK cache, KMS interface, KEK fetcher
├── fields.py          per-property encrypt and decrypt dispatcher
└── kms_inmemory.py    test only KMS that holds keys in process</w:t>
      </w:r>
    </w:p>
    <w:p>
      <w:pPr>
        <w:spacing w:after="120"/>
      </w:pPr>
      <w:r>
        <w:t xml:space="preserve">The public facade exposes three functions: encrypt_field(plaintext, user_id, field_id), decrypt_field(ciphertext, user_id, field_id), and encrypt_field_deterministic(value, user_id, field_id). The fields.py module looks up the scheme for each field id from a closed allow list and dispatches to the right primitive.</w:t>
      </w:r>
    </w:p>
    <w:p>
      <w:pPr>
        <w:pStyle w:val="Heading2"/>
        <w:spacing w:after="160" w:before="280"/>
      </w:pPr>
      <w:r>
        <w:t xml:space="preserve">6.2 Library choices</w:t>
      </w:r>
    </w:p>
    <w:p>
      <w:pPr>
        <w:pStyle w:val="ListParagraph"/>
        <w:numPr>
          <w:ilvl w:val="0"/>
          <w:numId w:val="2"/>
        </w:numPr>
        <w:spacing w:after="80"/>
      </w:pPr>
      <w:r>
        <w:t xml:space="preserve">Use the cryptography Python package for primitives. It exposes AESGCM and AESSIV with correct nonce handling and authentication tags.</w:t>
      </w:r>
    </w:p>
    <w:p>
      <w:pPr>
        <w:pStyle w:val="ListParagraph"/>
        <w:numPr>
          <w:ilvl w:val="0"/>
          <w:numId w:val="2"/>
        </w:numPr>
        <w:spacing w:after="80"/>
      </w:pPr>
      <w:r>
        <w:t xml:space="preserve">Do not roll your own AES wrapper. Audit conversations get much shorter when the answer is 'cryptography library, peer reviewed primitives.'</w:t>
      </w:r>
    </w:p>
    <w:p>
      <w:pPr>
        <w:pStyle w:val="ListParagraph"/>
        <w:numPr>
          <w:ilvl w:val="0"/>
          <w:numId w:val="2"/>
        </w:numPr>
        <w:spacing w:after="80"/>
      </w:pPr>
      <w:r>
        <w:t xml:space="preserve">Use the boto3 KMS client for AWS, the google-cloud-kms client for GCP, or hvac for HashiCorp Vault. Wrap behind a small KmsClient interface in keys.py so swapping KMS vendor is a single file change.</w:t>
      </w:r>
    </w:p>
    <w:p>
      <w:pPr>
        <w:pStyle w:val="Heading2"/>
        <w:spacing w:after="160" w:before="280"/>
      </w:pPr>
      <w:r>
        <w:t xml:space="preserve">6.3 Wiring strategy</w:t>
      </w:r>
    </w:p>
    <w:p>
      <w:pPr>
        <w:pStyle w:val="ListParagraph"/>
        <w:numPr>
          <w:ilvl w:val="0"/>
          <w:numId w:val="3"/>
        </w:numPr>
        <w:spacing w:after="80"/>
      </w:pPr>
      <w:r>
        <w:t xml:space="preserve">Layer 1 and Layer 2 are deployment work. Confirm TLS, mTLS, FDE, encrypted backups.</w:t>
      </w:r>
    </w:p>
    <w:p>
      <w:pPr>
        <w:pStyle w:val="ListParagraph"/>
        <w:numPr>
          <w:ilvl w:val="0"/>
          <w:numId w:val="3"/>
        </w:numPr>
        <w:spacing w:after="80"/>
      </w:pPr>
      <w:r>
        <w:t xml:space="preserve">Land agentic/memory/encryption/ as a no op skeleton: every encrypt_field call returns the input unchanged, every decrypt_field call returns the input unchanged. This lets the writers be threaded through the encryption module without changing behavior.</w:t>
      </w:r>
    </w:p>
    <w:p>
      <w:pPr>
        <w:pStyle w:val="ListParagraph"/>
        <w:numPr>
          <w:ilvl w:val="0"/>
          <w:numId w:val="3"/>
        </w:numPr>
        <w:spacing w:after="80"/>
      </w:pPr>
      <w:r>
        <w:t xml:space="preserve">Add the encryption call sites in _common.py. The writers continue working because the no op skeleton passes inputs through.</w:t>
      </w:r>
    </w:p>
    <w:p>
      <w:pPr>
        <w:pStyle w:val="ListParagraph"/>
        <w:numPr>
          <w:ilvl w:val="0"/>
          <w:numId w:val="3"/>
        </w:numPr>
        <w:spacing w:after="80"/>
      </w:pPr>
      <w:r>
        <w:t xml:space="preserve">Turn on real encryption per column behind a feature flag. Backfill existing rows in a maintenance window. Once every row has been written through real encryption, remove the flag.</w:t>
      </w:r>
    </w:p>
    <w:p>
      <w:pPr>
        <w:pStyle w:val="ListParagraph"/>
        <w:numPr>
          <w:ilvl w:val="0"/>
          <w:numId w:val="3"/>
        </w:numPr>
        <w:spacing w:after="80"/>
      </w:pPr>
      <w:r>
        <w:t xml:space="preserve">If embedding inversion shows up in the audit log, switch _find_similar_node to Option B.</w:t>
      </w:r>
    </w:p>
    <w:p>
      <w:pPr>
        <w:pStyle w:val="Heading2"/>
        <w:spacing w:after="160" w:before="280"/>
      </w:pPr>
      <w:r>
        <w:t xml:space="preserve">6.4 Key rotation</w:t>
      </w:r>
    </w:p>
    <w:p>
      <w:pPr>
        <w:spacing w:after="120"/>
      </w:pPr>
      <w:r>
        <w:t xml:space="preserve">The KEK rotates on a schedule managed by the KMS. DEK rotation is handled by re encrypting the DEK under the new KEK on next access; the encrypted columns themselves do not need to be rewritten because they are wrapped under the unchanged DEK. When a DEK itself rotates, a background job rewrites the affected user's columns. Both rotations are auditable through the KMS event log.</w:t>
      </w:r>
    </w:p>
    <w:p>
      <w:pPr>
        <w:pStyle w:val="Heading2"/>
        <w:spacing w:after="160" w:before="280"/>
      </w:pPr>
      <w:r>
        <w:t xml:space="preserve">6.5 Things that stay plaintext</w:t>
      </w:r>
    </w:p>
    <w:p>
      <w:pPr>
        <w:spacing w:after="120"/>
      </w:pPr>
      <w:r>
        <w:t xml:space="preserve">Do not encrypt id, t_valid, t_invalid, confidence, source_session, source_messages, active, last_seen, importance, last_accessed, created_at, frequency, mention_count, embedding indexes that the lifecycle module or decay job depend on. The KG cannot function with these fields opaque. The bi temporal model and the lifecycle code in kg_deleter and kg_modifier are the load bearing arguments for what stays plaintext.</w:t>
      </w:r>
    </w:p>
    <w:p>
      <w:pPr>
        <w:pStyle w:val="Heading1"/>
        <w:spacing w:after="200" w:before="360"/>
      </w:pPr>
      <w:r>
        <w:t xml:space="preserve">7. Audit and Provenance</w:t>
      </w:r>
    </w:p>
    <w:p>
      <w:pPr>
        <w:spacing w:after="120"/>
      </w:pPr>
      <w:r>
        <w:t xml:space="preserve">Every encrypt and decrypt call should emit a structured audit record. The minimum fields: timestamp, user_id, field_id, operation (encrypt or decrypt), DEK key id, KMS request id (when a fresh unwrap occurred). The audit log is shipped to a tamper resistant store separate from the application logs. The provenance fields on every edge (source_session and source_messages) remain in the clear so the lifecycle module can resolve them; they form a second audit trail at the data layer.</w:t>
      </w:r>
    </w:p>
    <w:p>
      <w:pPr>
        <w:spacing w:after="120"/>
      </w:pPr>
      <w:r>
        <w:t xml:space="preserve">When invalidate_message or purge_message run, the audit log records the message id and the count of edges and nodes affected. When purge_user runs, the audit log records the user id and the request that authorized the erasure. Together with the KMS event log, this gives an investigator a complete chain of custody for any individual record.</w:t>
      </w:r>
    </w:p>
    <w:p>
      <w:pPr>
        <w:pStyle w:val="Heading1"/>
        <w:spacing w:after="200" w:before="360"/>
      </w:pPr>
      <w:r>
        <w:t xml:space="preserve">8. References</w:t>
      </w:r>
    </w:p>
    <w:p>
      <w:pPr>
        <w:spacing w:after="120"/>
      </w:pPr>
      <w:r>
        <w:t xml:space="preserve">All references are peer reviewed publications from established venues. They are listed in the order they are first cited in the document.</w:t>
      </w:r>
    </w:p>
    <w:p>
      <w:pPr>
        <w:spacing w:after="140"/>
        <w:ind w:left="360" w:hanging="360"/>
      </w:pPr>
      <w:r>
        <w:rPr>
          <w:sz w:val="22"/>
          <w:szCs w:val="22"/>
        </w:rPr>
        <w:t xml:space="preserve">Song, C., and Raghunathan, A. (2020). Information Leakage in Embedding Models. Proceedings of the 2020 ACM SIGSAC Conference on Computer and Communications Security (CCS 2020), pages 377 to 390. DOI 10.1145/3372297.3417270.</w:t>
      </w:r>
    </w:p>
    <w:p>
      <w:pPr>
        <w:spacing w:after="140"/>
        <w:ind w:left="360" w:hanging="360"/>
      </w:pPr>
      <w:r>
        <w:rPr>
          <w:sz w:val="22"/>
          <w:szCs w:val="22"/>
        </w:rPr>
        <w:t xml:space="preserve">Narayanan, A., and Shmatikov, V. (2009). De-anonymizing Social Networks. Proceedings of the 30th IEEE Symposium on Security and Privacy (SP 2009), pages 173 to 187. DOI 10.1109/SP.2009.22.</w:t>
      </w:r>
    </w:p>
    <w:p>
      <w:pPr>
        <w:spacing w:after="140"/>
        <w:ind w:left="360" w:hanging="360"/>
      </w:pPr>
      <w:r>
        <w:rPr>
          <w:sz w:val="22"/>
          <w:szCs w:val="22"/>
        </w:rPr>
        <w:t xml:space="preserve">Popa, R. A., Redfield, C. M. S., Zeldovich, N., and Balakrishnan, H. (2011). CryptDB: Protecting Confidentiality with Encrypted Query Processing. Proceedings of the 23rd ACM Symposium on Operating Systems Principles (SOSP 2011), pages 85 to 100. DOI 10.1145/2043556.2043566.</w:t>
      </w:r>
    </w:p>
    <w:p>
      <w:pPr>
        <w:spacing w:after="140"/>
        <w:ind w:left="360" w:hanging="360"/>
      </w:pPr>
      <w:r>
        <w:rPr>
          <w:sz w:val="22"/>
          <w:szCs w:val="22"/>
        </w:rPr>
        <w:t xml:space="preserve">Curtmola, R., Garay, J., Kamara, S., and Ostrovsky, R. (2006). Searchable Symmetric Encryption: Improved Definitions and Efficient Constructions. Proceedings of the 13th ACM Conference on Computer and Communications Security (CCS 2006), pages 79 to 88. DOI 10.1145/1180405.1180417.</w:t>
      </w:r>
    </w:p>
    <w:p>
      <w:pPr>
        <w:spacing w:after="140"/>
        <w:ind w:left="360" w:hanging="360"/>
      </w:pPr>
      <w:r>
        <w:rPr>
          <w:sz w:val="22"/>
          <w:szCs w:val="22"/>
        </w:rPr>
        <w:t xml:space="preserve">Sweeney, L. (2002). k-anonymity: A Model for Protecting Privacy. International Journal of Uncertainty, Fuzziness and Knowledge-Based Systems, volume 10, issue 5, pages 557 to 570. DOI 10.1142/S0218488502001648.</w:t>
      </w:r>
    </w:p>
    <w:p>
      <w:pPr>
        <w:spacing w:after="140"/>
        <w:ind w:left="360" w:hanging="360"/>
      </w:pPr>
      <w:r>
        <w:rPr>
          <w:sz w:val="22"/>
          <w:szCs w:val="22"/>
        </w:rPr>
        <w:t xml:space="preserve">Machanavajjhala, A., Kifer, D., Gehrke, J., and Venkitasubramaniam, M. (2007). l-Diversity: Privacy Beyond k-anonymity. ACM Transactions on Knowledge Discovery from Data, volume 1, issue 1, article 3. DOI 10.1145/1217299.1217302.</w:t>
      </w:r>
    </w:p>
    <w:p>
      <w:pPr>
        <w:spacing w:after="140"/>
        <w:ind w:left="360" w:hanging="360"/>
      </w:pPr>
      <w:r>
        <w:rPr>
          <w:sz w:val="22"/>
          <w:szCs w:val="22"/>
        </w:rPr>
        <w:t xml:space="preserve">Dwork, C. (2006). Differential Privacy. Automata, Languages and Programming (ICALP 2006), Lecture Notes in Computer Science volume 4052, pages 1 to 12. DOI 10.1007/11787006_1.</w:t>
      </w:r>
    </w:p>
    <w:p>
      <w:pPr>
        <w:spacing w:after="140"/>
        <w:ind w:left="360" w:hanging="360"/>
      </w:pPr>
      <w:r>
        <w:rPr>
          <w:sz w:val="22"/>
          <w:szCs w:val="22"/>
        </w:rPr>
        <w:t xml:space="preserve">Dwork, C., and Roth, A. (2014). The Algorithmic Foundations of Differential Privacy. Foundations and Trends in Theoretical Computer Science, volume 9, issues 3 to 4, pages 211 to 407. DOI 10.1561/0400000042.</w:t>
      </w:r>
    </w:p>
    <w:p>
      <w:pPr>
        <w:spacing w:after="140"/>
        <w:ind w:left="360" w:hanging="360"/>
      </w:pPr>
      <w:r>
        <w:rPr>
          <w:sz w:val="22"/>
          <w:szCs w:val="22"/>
        </w:rPr>
        <w:t xml:space="preserve">Chase, M., and Kamara, S. (2010). Structured Encryption and Controlled Disclosure. Advances in Cryptology, ASIACRYPT 2010, Lecture Notes in Computer Science volume 6477, pages 577 to 594. DOI 10.1007/978-3-642-17373-8_33.</w:t>
      </w:r>
    </w:p>
    <w:p>
      <w:pPr>
        <w:spacing w:after="140"/>
        <w:ind w:left="360" w:hanging="360"/>
      </w:pPr>
      <w:r>
        <w:rPr>
          <w:sz w:val="22"/>
          <w:szCs w:val="22"/>
        </w:rPr>
        <w:t xml:space="preserve">Meng, X., Kamara, S., Nissim, K., and Kollios, G. (2015). GRECS: Graph Encryption for Approximate Shortest Distance Queries. Proceedings of the 22nd ACM Conference on Computer and Communications Security (CCS 2015), pages 504 to 517. DOI 10.1145/2810103.2813672.</w:t>
      </w:r>
    </w:p>
    <w:p>
      <w:pPr>
        <w:spacing w:after="140"/>
        <w:ind w:left="360" w:hanging="360"/>
      </w:pPr>
      <w:r>
        <w:rPr>
          <w:sz w:val="22"/>
          <w:szCs w:val="22"/>
        </w:rPr>
        <w:t xml:space="preserve">Martinez-Martin, N., Insel, T. R., Dagum, P., Greely, H. T., and Cho, M. K. (2018). Data Mining for Health: Staking Out the Ethical Territory of Digital Phenotyping. npj Digital Medicine, volume 1, article 68. DOI 10.1038/s41746-018-0075-8.</w:t>
      </w:r>
    </w:p>
    <w:p>
      <w:pPr>
        <w:spacing w:after="140"/>
        <w:ind w:left="360" w:hanging="360"/>
      </w:pPr>
      <w:r>
        <w:rPr>
          <w:sz w:val="22"/>
          <w:szCs w:val="22"/>
        </w:rPr>
        <w:t xml:space="preserve">Torous, J., Andersson, G., Bertagnoli, A., Christensen, H., Cuijpers, P., Firth, J., Haim, A., Hsin, H., Hollis, C., Lewis, S., Mohr, D. C., Pratap, A., Roux, S., Sherrill, J., and Arean, P. A. (2019). Towards a Consensus around Standards for Smartphone Apps and Digital Mental Health. World Psychiatry, volume 18, issue 1, pages 97 to 98. DOI 10.1002/wps.20592.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20"/>
        <w:szCs w:val="20"/>
      </w:rPr>
      <w:t xml:space="preserve">Page </w:t>
    </w:r>
    <w:r>
      <w:rPr>
        <w:color w:val="595959"/>
        <w:sz w:val="20"/>
        <w:szCs w:val="20"/>
      </w:rPr>
      <w:fldChar w:fldCharType="begin"/>
      <w:instrText xml:space="preserve">PAGE</w:instrText>
      <w:fldChar w:fldCharType="separate"/>
      <w:fldChar w:fldCharType="end"/>
    </w:r>
    <w:r>
      <w:rPr>
        <w:color w:val="595959"/>
        <w:sz w:val="20"/>
        <w:szCs w:val="20"/>
      </w:rPr>
      <w:t xml:space="preserve"> of </w:t>
    </w:r>
    <w:r>
      <w:rPr>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20"/>
        <w:szCs w:val="20"/>
      </w:rPr>
      <w:t xml:space="preserve">Knowledge Graph Encryption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6"/>
      <w:szCs w:val="36"/>
    </w:rPr>
  </w:style>
  <w:style w:type="paragraph" w:styleId="Heading2">
    <w:name w:val="Heading 2"/>
    <w:basedOn w:val="Normal"/>
    <w:next w:val="Normal"/>
    <w:qFormat/>
    <w:pPr>
      <w:spacing w:after="160" w:before="280"/>
      <w:outlineLvl w:val="1"/>
    </w:pPr>
    <w:rPr>
      <w:rFonts w:ascii="Calibri" w:cs="Calibri" w:eastAsia="Calibri" w:hAnsi="Calibri"/>
      <w:b/>
      <w:bCs/>
      <w:sz w:val="28"/>
      <w:szCs w:val="28"/>
    </w:rPr>
  </w:style>
  <w:style w:type="paragraph" w:styleId="Heading3">
    <w:name w:val="Heading 3"/>
    <w:basedOn w:val="Normal"/>
    <w:next w:val="Normal"/>
    <w:qFormat/>
    <w:pPr>
      <w:spacing w:after="120" w:before="24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Graph Encryption Plan</dc:title>
  <dc:creator>CompanionshipChatBot Project</dc:creator>
  <dc:description>Design and implementation plan for encrypting the bi-temporal Neo4j knowledge graph used by the CompanionshipChatBot mental health companion.</dc:description>
  <cp:lastModifiedBy>Un-named</cp:lastModifiedBy>
  <cp:revision>1</cp:revision>
  <dcterms:created xsi:type="dcterms:W3CDTF">2026-04-25T11:45:21.339Z</dcterms:created>
  <dcterms:modified xsi:type="dcterms:W3CDTF">2026-04-25T11:45:21.339Z</dcterms:modified>
</cp:coreProperties>
</file>

<file path=docProps/custom.xml><?xml version="1.0" encoding="utf-8"?>
<Properties xmlns="http://schemas.openxmlformats.org/officeDocument/2006/custom-properties" xmlns:vt="http://schemas.openxmlformats.org/officeDocument/2006/docPropsVTypes"/>
</file>