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7 -->
  <w:body>
    <w:p w:rsidR="00A11980">
      <w:pPr>
        <w:rPr>
          <w:rFonts w:ascii="Times New Roman" w:hAnsi="Times New Roman" w:cs="Times New Roman"/>
          <w:color w:val="auto"/>
        </w:rPr>
      </w:pPr>
    </w:p>
    <w:tbl>
      <w:tblPr>
        <w:tblW w:w="11042"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0" w:type="dxa"/>
          <w:right w:w="50" w:type="dxa"/>
        </w:tblCellMar>
        <w:tblLook w:val="0000"/>
      </w:tblPr>
      <w:tblGrid>
        <w:gridCol w:w="221"/>
        <w:gridCol w:w="110"/>
        <w:gridCol w:w="10711"/>
      </w:tblGrid>
      <w:tr w:rsidTr="00873754">
        <w:tblPrEx>
          <w:tblW w:w="11042"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0" w:type="dxa"/>
            <w:right w:w="50" w:type="dxa"/>
          </w:tblCellMar>
          <w:tblLook w:val="0000"/>
        </w:tblPrEx>
        <w:tc>
          <w:tcPr>
            <w:tcW w:w="221" w:type="dxa"/>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rsidR="00A11980" w:rsidP="00343D43">
            <w:pPr>
              <w:rPr>
                <w:sz w:val="20"/>
                <w:szCs w:val="20"/>
              </w:rPr>
            </w:pPr>
            <w:r>
              <w:rPr>
                <w:sz w:val="20"/>
                <w:szCs w:val="20"/>
              </w:rPr>
              <w:t xml:space="preserve">Report No: </w:t>
            </w:r>
            <w:r w:rsidR="00343D43">
              <w:rPr>
                <w:noProof/>
                <w:sz w:val="20"/>
                <w:szCs w:val="20"/>
              </w:rPr>
              <w:t>AUS0001654</w:t>
            </w:r>
          </w:p>
        </w:tc>
      </w:tr>
      <w:tr w:rsidTr="00873754">
        <w:tblPrEx>
          <w:tblW w:w="11042" w:type="dxa"/>
          <w:tblInd w:w="50" w:type="dxa"/>
          <w:tblLayout w:type="fixed"/>
          <w:tblCellMar>
            <w:left w:w="50" w:type="dxa"/>
            <w:right w:w="50" w:type="dxa"/>
          </w:tblCellMar>
          <w:tblLook w:val="0000"/>
        </w:tblPrEx>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w:hAnsi="Times" w:cs="Times"/>
                <w:color w:val="FFFFFF"/>
                <w:sz w:val="10"/>
                <w:szCs w:val="10"/>
              </w:rPr>
            </w:pPr>
            <w:r>
              <w:rPr>
                <w:rFonts w:ascii="Times" w:hAnsi="Times" w:cs="Times"/>
                <w:color w:val="FFFFFF"/>
                <w:sz w:val="10"/>
                <w:szCs w:val="10"/>
              </w:rPr>
              <w:t>.</w:t>
            </w:r>
          </w:p>
        </w:tc>
      </w:tr>
      <w:tr w:rsidTr="00873754">
        <w:tblPrEx>
          <w:tblW w:w="11042" w:type="dxa"/>
          <w:tblInd w:w="50" w:type="dxa"/>
          <w:tblLayout w:type="fixed"/>
          <w:tblCellMar>
            <w:left w:w="50" w:type="dxa"/>
            <w:right w:w="50" w:type="dxa"/>
          </w:tblCellMar>
          <w:tblLook w:val="0000"/>
        </w:tblPrEx>
        <w:tc>
          <w:tcPr>
            <w:tcW w:w="221" w:type="dxa"/>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rsidR="00A11980">
            <w:pPr>
              <w:rPr>
                <w:sz w:val="48"/>
                <w:szCs w:val="48"/>
              </w:rPr>
            </w:pPr>
            <w:r>
              <w:rPr>
                <w:noProof/>
                <w:sz w:val="48"/>
                <w:szCs w:val="48"/>
              </w:rPr>
              <w:t>Russian Federation</w:t>
            </w:r>
          </w:p>
        </w:tc>
      </w:tr>
      <w:tr w:rsidTr="00873754">
        <w:tblPrEx>
          <w:tblW w:w="11042" w:type="dxa"/>
          <w:tblInd w:w="50" w:type="dxa"/>
          <w:tblLayout w:type="fixed"/>
          <w:tblCellMar>
            <w:left w:w="50" w:type="dxa"/>
            <w:right w:w="50" w:type="dxa"/>
          </w:tblCellMar>
          <w:tblLook w:val="0000"/>
        </w:tblPrEx>
        <w:tc>
          <w:tcPr>
            <w:tcW w:w="221" w:type="dxa"/>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rsidR="00A11980">
            <w:pPr>
              <w:rPr>
                <w:sz w:val="48"/>
                <w:szCs w:val="48"/>
              </w:rPr>
            </w:pPr>
            <w:r>
              <w:rPr>
                <w:noProof/>
                <w:sz w:val="48"/>
                <w:szCs w:val="48"/>
              </w:rPr>
              <w:t>Russia Skills</w:t>
            </w:r>
            <w:r>
              <w:rPr>
                <w:noProof/>
                <w:sz w:val="48"/>
                <w:szCs w:val="48"/>
              </w:rPr>
              <w:t xml:space="preserve"> And Returns</w:t>
            </w:r>
          </w:p>
        </w:tc>
      </w:tr>
      <w:tr w:rsidTr="00873754">
        <w:tblPrEx>
          <w:tblW w:w="11042" w:type="dxa"/>
          <w:tblInd w:w="50" w:type="dxa"/>
          <w:tblLayout w:type="fixed"/>
          <w:tblCellMar>
            <w:left w:w="50" w:type="dxa"/>
            <w:right w:w="50" w:type="dxa"/>
          </w:tblCellMar>
          <w:tblLook w:val="0000"/>
        </w:tblPrEx>
        <w:tc>
          <w:tcPr>
            <w:tcW w:w="221" w:type="dxa"/>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rsidR="00A11980">
            <w:pPr>
              <w:rPr>
                <w:sz w:val="34"/>
                <w:szCs w:val="34"/>
              </w:rPr>
            </w:pPr>
            <w:r>
              <w:rPr>
                <w:sz w:val="34"/>
                <w:szCs w:val="34"/>
              </w:rPr>
              <w:t>{enter report sub-title here}</w:t>
            </w:r>
          </w:p>
        </w:tc>
      </w:tr>
      <w:tr w:rsidTr="00873754">
        <w:tblPrEx>
          <w:tblW w:w="11042" w:type="dxa"/>
          <w:tblInd w:w="50" w:type="dxa"/>
          <w:tblLayout w:type="fixed"/>
          <w:tblCellMar>
            <w:left w:w="50" w:type="dxa"/>
            <w:right w:w="50" w:type="dxa"/>
          </w:tblCellMar>
          <w:tblLook w:val="0000"/>
        </w:tblPrEx>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w:hAnsi="Times" w:cs="Times"/>
                <w:color w:val="FFFFFF"/>
                <w:sz w:val="60"/>
                <w:szCs w:val="60"/>
              </w:rPr>
            </w:pPr>
            <w:r>
              <w:rPr>
                <w:rFonts w:ascii="Times" w:hAnsi="Times" w:cs="Times"/>
                <w:color w:val="FFFFFF"/>
                <w:sz w:val="60"/>
                <w:szCs w:val="60"/>
              </w:rPr>
              <w:t>.</w:t>
            </w:r>
          </w:p>
        </w:tc>
      </w:tr>
      <w:tr w:rsidTr="00873754">
        <w:tblPrEx>
          <w:tblW w:w="11042" w:type="dxa"/>
          <w:tblInd w:w="50" w:type="dxa"/>
          <w:tblLayout w:type="fixed"/>
          <w:tblCellMar>
            <w:left w:w="50" w:type="dxa"/>
            <w:right w:w="50" w:type="dxa"/>
          </w:tblCellMar>
          <w:tblLook w:val="0000"/>
        </w:tblPrEx>
        <w:tc>
          <w:tcPr>
            <w:tcW w:w="221" w:type="dxa"/>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rsidR="00A11980">
            <w:pPr>
              <w:rPr>
                <w:sz w:val="20"/>
                <w:szCs w:val="20"/>
              </w:rPr>
            </w:pPr>
            <w:r>
              <w:rPr>
                <w:sz w:val="20"/>
                <w:szCs w:val="20"/>
              </w:rPr>
              <w:t>{enter report date here}</w:t>
            </w:r>
          </w:p>
        </w:tc>
      </w:tr>
      <w:tr w:rsidTr="00873754">
        <w:tblPrEx>
          <w:tblW w:w="11042" w:type="dxa"/>
          <w:tblInd w:w="50" w:type="dxa"/>
          <w:tblLayout w:type="fixed"/>
          <w:tblCellMar>
            <w:left w:w="50" w:type="dxa"/>
            <w:right w:w="50" w:type="dxa"/>
          </w:tblCellMar>
          <w:tblLook w:val="0000"/>
        </w:tblPrEx>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w:hAnsi="Times" w:cs="Times"/>
                <w:color w:val="FFFFFF"/>
                <w:sz w:val="60"/>
                <w:szCs w:val="60"/>
              </w:rPr>
            </w:pPr>
            <w:r>
              <w:rPr>
                <w:rFonts w:ascii="Times" w:hAnsi="Times" w:cs="Times"/>
                <w:color w:val="FFFFFF"/>
                <w:sz w:val="60"/>
                <w:szCs w:val="60"/>
              </w:rPr>
              <w:t>.</w:t>
            </w:r>
          </w:p>
        </w:tc>
      </w:tr>
      <w:tr w:rsidTr="00873754">
        <w:tblPrEx>
          <w:tblW w:w="11042" w:type="dxa"/>
          <w:tblInd w:w="50" w:type="dxa"/>
          <w:tblLayout w:type="fixed"/>
          <w:tblCellMar>
            <w:left w:w="50" w:type="dxa"/>
            <w:right w:w="50" w:type="dxa"/>
          </w:tblCellMar>
          <w:tblLook w:val="0000"/>
        </w:tblPrEx>
        <w:tc>
          <w:tcPr>
            <w:tcW w:w="221" w:type="dxa"/>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rsidR="00A11980">
            <w:pPr>
              <w:rPr>
                <w:sz w:val="20"/>
                <w:szCs w:val="20"/>
              </w:rPr>
            </w:pPr>
            <w:r>
              <w:rPr>
                <w:noProof/>
                <w:sz w:val="20"/>
                <w:szCs w:val="20"/>
              </w:rPr>
              <w:t>EDU</w:t>
            </w:r>
          </w:p>
        </w:tc>
      </w:tr>
      <w:tr w:rsidTr="00873754">
        <w:tblPrEx>
          <w:tblW w:w="11042" w:type="dxa"/>
          <w:tblInd w:w="50" w:type="dxa"/>
          <w:tblLayout w:type="fixed"/>
          <w:tblCellMar>
            <w:left w:w="50" w:type="dxa"/>
            <w:right w:w="50" w:type="dxa"/>
          </w:tblCellMar>
          <w:tblLook w:val="0000"/>
        </w:tblPrEx>
        <w:tc>
          <w:tcPr>
            <w:tcW w:w="221" w:type="dxa"/>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rsidR="00A11980">
            <w:pPr>
              <w:rPr>
                <w:sz w:val="20"/>
                <w:szCs w:val="20"/>
              </w:rPr>
            </w:pPr>
          </w:p>
        </w:tc>
      </w:tr>
      <w:tr w:rsidTr="00873754">
        <w:tblPrEx>
          <w:tblW w:w="11042" w:type="dxa"/>
          <w:tblInd w:w="50" w:type="dxa"/>
          <w:tblLayout w:type="fixed"/>
          <w:tblCellMar>
            <w:left w:w="50" w:type="dxa"/>
            <w:right w:w="50" w:type="dxa"/>
          </w:tblCellMar>
          <w:tblLook w:val="0000"/>
        </w:tblPrEx>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w:hAnsi="Times" w:cs="Times"/>
                <w:color w:val="FFFFFF"/>
                <w:sz w:val="20"/>
                <w:szCs w:val="20"/>
              </w:rPr>
            </w:pPr>
            <w:r>
              <w:rPr>
                <w:rFonts w:ascii="Times" w:hAnsi="Times" w:cs="Times"/>
                <w:color w:val="FFFFFF"/>
                <w:sz w:val="20"/>
                <w:szCs w:val="20"/>
              </w:rPr>
              <w:t>.</w:t>
            </w:r>
          </w:p>
        </w:tc>
      </w:tr>
      <w:tr w:rsidTr="00873754">
        <w:tblPrEx>
          <w:tblW w:w="11042" w:type="dxa"/>
          <w:tblInd w:w="50" w:type="dxa"/>
          <w:tblLayout w:type="fixed"/>
          <w:tblCellMar>
            <w:left w:w="50" w:type="dxa"/>
            <w:right w:w="50" w:type="dxa"/>
          </w:tblCellMar>
          <w:tblLook w:val="0000"/>
        </w:tblPrEx>
        <w:tc>
          <w:tcPr>
            <w:tcW w:w="221" w:type="dxa"/>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rsidR="00A11980">
            <w:pPr>
              <w:spacing w:line="320" w:lineRule="atLeast"/>
              <w:rPr>
                <w:rFonts w:ascii="Times New Roman" w:hAnsi="Times New Roman" w:cs="Times New Roman"/>
                <w:color w:val="auto"/>
              </w:rPr>
            </w:pPr>
            <w:r>
              <w:rPr>
                <w:rFonts w:ascii="Times New Roman" w:hAnsi="Times New Roman" w:cs="Times New Roman"/>
                <w:noProof/>
                <w:color w:val="auto"/>
              </w:rPr>
              <w:drawing>
                <wp:inline distT="0" distB="0" distL="0" distR="0">
                  <wp:extent cx="638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00422"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38175" cy="628650"/>
                          </a:xfrm>
                          <a:prstGeom prst="rect">
                            <a:avLst/>
                          </a:prstGeom>
                          <a:noFill/>
                          <a:ln>
                            <a:noFill/>
                          </a:ln>
                        </pic:spPr>
                      </pic:pic>
                    </a:graphicData>
                  </a:graphic>
                </wp:inline>
              </w:drawing>
            </w:r>
          </w:p>
        </w:tc>
      </w:tr>
      <w:tr w:rsidTr="00873754">
        <w:tblPrEx>
          <w:tblW w:w="11042" w:type="dxa"/>
          <w:tblInd w:w="50" w:type="dxa"/>
          <w:tblLayout w:type="fixed"/>
          <w:tblCellMar>
            <w:left w:w="50" w:type="dxa"/>
            <w:right w:w="50" w:type="dxa"/>
          </w:tblCellMar>
          <w:tblLook w:val="0000"/>
        </w:tblPrEx>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w:hAnsi="Times" w:cs="Times"/>
                <w:color w:val="FFFFFF"/>
                <w:sz w:val="650"/>
                <w:szCs w:val="650"/>
              </w:rPr>
            </w:pPr>
            <w:r>
              <w:rPr>
                <w:rFonts w:ascii="Times" w:hAnsi="Times" w:cs="Times"/>
                <w:color w:val="FFFFFF"/>
                <w:sz w:val="650"/>
                <w:szCs w:val="650"/>
              </w:rPr>
              <w:t>.</w:t>
            </w:r>
          </w:p>
        </w:tc>
      </w:tr>
      <w:tr w:rsidTr="00873754">
        <w:tblPrEx>
          <w:tblW w:w="11042" w:type="dxa"/>
          <w:tblInd w:w="50" w:type="dxa"/>
          <w:tblLayout w:type="fixed"/>
          <w:tblCellMar>
            <w:left w:w="50" w:type="dxa"/>
            <w:right w:w="50" w:type="dxa"/>
          </w:tblCellMar>
          <w:tblLook w:val="0000"/>
        </w:tblPrEx>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w:hAnsi="Times" w:cs="Times"/>
                <w:color w:val="FFFFFF"/>
                <w:sz w:val="20"/>
                <w:szCs w:val="20"/>
              </w:rPr>
            </w:pPr>
            <w:r>
              <w:rPr>
                <w:rFonts w:ascii="Times" w:hAnsi="Times" w:cs="Times"/>
                <w:color w:val="FFFFFF"/>
                <w:sz w:val="20"/>
                <w:szCs w:val="20"/>
              </w:rPr>
              <w:t>.</w:t>
            </w:r>
          </w:p>
        </w:tc>
      </w:tr>
      <w:tr w:rsidTr="00873754">
        <w:tblPrEx>
          <w:tblW w:w="11042" w:type="dxa"/>
          <w:tblInd w:w="50" w:type="dxa"/>
          <w:tblLayout w:type="fixed"/>
          <w:tblCellMar>
            <w:left w:w="50" w:type="dxa"/>
            <w:right w:w="50" w:type="dxa"/>
          </w:tblCellMar>
          <w:tblLook w:val="0000"/>
        </w:tblPrEx>
        <w:tc>
          <w:tcPr>
            <w:tcW w:w="331" w:type="dxa"/>
            <w:gridSpan w:val="2"/>
            <w:tcBorders>
              <w:top w:val="nil"/>
              <w:left w:val="nil"/>
              <w:bottom w:val="nil"/>
              <w:right w:val="nil"/>
            </w:tcBorders>
            <w:shd w:val="clear" w:color="auto" w:fill="FFFFFF"/>
            <w:tcMar>
              <w:top w:w="50" w:type="dxa"/>
              <w:left w:w="50" w:type="dxa"/>
              <w:bottom w:w="50" w:type="dxa"/>
              <w:right w:w="50" w:type="dxa"/>
            </w:tcMar>
            <w:vAlign w:val="center"/>
          </w:tcPr>
          <w:p w:rsidR="00A11980">
            <w:pPr>
              <w:rPr>
                <w:rFonts w:ascii="Times New Roman" w:hAnsi="Times New Roman" w:cs="Times New Roman"/>
                <w:color w:val="auto"/>
              </w:rPr>
            </w:pPr>
          </w:p>
        </w:tc>
        <w:tc>
          <w:tcPr>
            <w:tcW w:w="10711" w:type="dxa"/>
            <w:tcBorders>
              <w:top w:val="nil"/>
              <w:left w:val="nil"/>
              <w:bottom w:val="nil"/>
              <w:right w:val="nil"/>
            </w:tcBorders>
            <w:shd w:val="clear" w:color="auto" w:fill="FFFFFF"/>
            <w:tcMar>
              <w:top w:w="50" w:type="dxa"/>
              <w:left w:w="50" w:type="dxa"/>
              <w:bottom w:w="50" w:type="dxa"/>
              <w:right w:w="50" w:type="dxa"/>
            </w:tcMar>
            <w:vAlign w:val="center"/>
          </w:tcPr>
          <w:p w:rsidR="00873754" w:rsidRPr="00E03FD7" w:rsidP="00873754">
            <w:pPr>
              <w:pStyle w:val="Default"/>
              <w:rPr>
                <w:rFonts w:ascii="Arial" w:hAnsi="Arial" w:cs="Arial"/>
                <w:sz w:val="18"/>
                <w:szCs w:val="20"/>
              </w:rPr>
            </w:pPr>
            <w:r w:rsidRPr="00E03FD7">
              <w:rPr>
                <w:rFonts w:ascii="Arial" w:hAnsi="Arial" w:cs="Arial"/>
                <w:sz w:val="18"/>
                <w:szCs w:val="20"/>
              </w:rPr>
              <w:t xml:space="preserve">© 2017 The World Bank </w:t>
            </w:r>
          </w:p>
          <w:p w:rsidR="00873754" w:rsidRPr="00E03FD7" w:rsidP="00873754">
            <w:pPr>
              <w:pStyle w:val="Default"/>
              <w:rPr>
                <w:rFonts w:ascii="Arial" w:hAnsi="Arial" w:cs="Arial"/>
                <w:sz w:val="18"/>
                <w:szCs w:val="20"/>
              </w:rPr>
            </w:pPr>
            <w:r w:rsidRPr="00E03FD7">
              <w:rPr>
                <w:rFonts w:ascii="Arial" w:hAnsi="Arial" w:cs="Arial"/>
                <w:sz w:val="18"/>
                <w:szCs w:val="20"/>
              </w:rPr>
              <w:t xml:space="preserve">1818 H Street NW, Washington DC 20433 </w:t>
            </w:r>
          </w:p>
          <w:p w:rsidR="00873754" w:rsidRPr="00E03FD7" w:rsidP="00873754">
            <w:pPr>
              <w:pStyle w:val="Default"/>
              <w:rPr>
                <w:rFonts w:ascii="Arial" w:hAnsi="Arial" w:cs="Arial"/>
                <w:sz w:val="18"/>
                <w:szCs w:val="20"/>
              </w:rPr>
            </w:pPr>
            <w:r w:rsidRPr="00E03FD7">
              <w:rPr>
                <w:rFonts w:ascii="Arial" w:hAnsi="Arial" w:cs="Arial"/>
                <w:sz w:val="18"/>
                <w:szCs w:val="20"/>
              </w:rPr>
              <w:t xml:space="preserve">Telephone: 202-473-1000; Internet: </w:t>
            </w:r>
            <w:hyperlink r:id="rId5" w:history="1">
              <w:r w:rsidRPr="002014BA">
                <w:rPr>
                  <w:rStyle w:val="Hyperlink"/>
                  <w:sz w:val="18"/>
                  <w:szCs w:val="20"/>
                </w:rPr>
                <w:t>www.worldbank.org</w:t>
              </w:r>
            </w:hyperlink>
            <w:r w:rsidRPr="00E03FD7">
              <w:rPr>
                <w:rFonts w:ascii="Arial" w:hAnsi="Arial" w:cs="Arial"/>
                <w:sz w:val="18"/>
                <w:szCs w:val="20"/>
              </w:rPr>
              <w:t xml:space="preserve"> </w:t>
            </w:r>
          </w:p>
          <w:p w:rsidR="00873754" w:rsidRPr="00E03FD7" w:rsidP="00873754">
            <w:pPr>
              <w:pStyle w:val="Default"/>
              <w:rPr>
                <w:rFonts w:ascii="Arial" w:hAnsi="Arial" w:cs="Arial"/>
                <w:sz w:val="18"/>
                <w:szCs w:val="20"/>
              </w:rPr>
            </w:pPr>
          </w:p>
          <w:p w:rsidR="00873754" w:rsidRPr="00E03FD7" w:rsidP="00873754">
            <w:pPr>
              <w:spacing w:after="120"/>
              <w:rPr>
                <w:sz w:val="18"/>
                <w:szCs w:val="20"/>
              </w:rPr>
            </w:pPr>
            <w:r w:rsidRPr="00E03FD7">
              <w:rPr>
                <w:sz w:val="18"/>
                <w:szCs w:val="20"/>
              </w:rPr>
              <w:t>Some rights reserved</w:t>
            </w:r>
          </w:p>
          <w:p w:rsidR="00873754" w:rsidRPr="00E03FD7" w:rsidP="00873754">
            <w:pPr>
              <w:pStyle w:val="Default"/>
              <w:rPr>
                <w:rFonts w:ascii="Arial" w:hAnsi="Arial" w:cs="Arial"/>
                <w:sz w:val="18"/>
                <w:szCs w:val="20"/>
              </w:rPr>
            </w:pPr>
          </w:p>
          <w:p w:rsidR="00873754" w:rsidRPr="00E03FD7" w:rsidP="00873754">
            <w:pPr>
              <w:pStyle w:val="Default"/>
              <w:rPr>
                <w:rFonts w:ascii="Arial" w:hAnsi="Arial" w:cs="Arial"/>
                <w:sz w:val="18"/>
                <w:szCs w:val="20"/>
              </w:rPr>
            </w:pPr>
            <w:r w:rsidRPr="00E03FD7">
              <w:rPr>
                <w:rFonts w:ascii="Arial" w:hAnsi="Arial" w:cs="Arial"/>
                <w:sz w:val="18"/>
                <w:szCs w:val="20"/>
              </w:rPr>
              <w:t xml:space="preserve">This work is a product of the staff of The World Bank. The findings, interpretations, and conclusions expressed in this work do not necessarily reflect the views of the Executive Directors of The World Bank or the governments they represent. The World Bank does not guarantee the accuracy of the data included in this work. The boundaries, colors, denominations, and other information shown on any map in this work do not imply any judgment on the part of The World Bank concerning the legal status of any territory or the endorsement or acceptance of such boundaries. </w:t>
            </w:r>
          </w:p>
          <w:p w:rsidR="00873754" w:rsidRPr="00E03FD7" w:rsidP="00873754">
            <w:pPr>
              <w:pStyle w:val="Default"/>
              <w:rPr>
                <w:rFonts w:ascii="Arial" w:hAnsi="Arial" w:cs="Arial"/>
                <w:sz w:val="18"/>
                <w:szCs w:val="20"/>
              </w:rPr>
            </w:pPr>
          </w:p>
          <w:p w:rsidR="00873754" w:rsidRPr="00E03FD7" w:rsidP="00873754">
            <w:pPr>
              <w:pStyle w:val="Default"/>
              <w:rPr>
                <w:rFonts w:ascii="Arial" w:hAnsi="Arial" w:eastAsiaTheme="minorEastAsia" w:cs="Arial"/>
                <w:b/>
                <w:bCs/>
                <w:color w:val="auto"/>
                <w:sz w:val="18"/>
                <w:szCs w:val="18"/>
              </w:rPr>
            </w:pPr>
            <w:r w:rsidRPr="00E03FD7">
              <w:rPr>
                <w:rFonts w:ascii="Arial" w:hAnsi="Arial" w:eastAsiaTheme="minorEastAsia" w:cs="Arial"/>
                <w:b/>
                <w:bCs/>
                <w:color w:val="auto"/>
                <w:sz w:val="18"/>
                <w:szCs w:val="18"/>
              </w:rPr>
              <w:t>Rights and Permissions</w:t>
            </w:r>
          </w:p>
          <w:p w:rsidR="00873754" w:rsidRPr="00E03FD7" w:rsidP="00873754">
            <w:pPr>
              <w:pStyle w:val="Default"/>
              <w:rPr>
                <w:rFonts w:ascii="Arial" w:hAnsi="Arial" w:cs="Arial"/>
                <w:sz w:val="18"/>
                <w:szCs w:val="20"/>
              </w:rPr>
            </w:pPr>
          </w:p>
          <w:p w:rsidR="00873754" w:rsidRPr="00E03FD7" w:rsidP="00873754">
            <w:pPr>
              <w:pStyle w:val="Default"/>
              <w:rPr>
                <w:rFonts w:ascii="Arial" w:hAnsi="Arial" w:cs="Arial"/>
                <w:sz w:val="18"/>
                <w:szCs w:val="20"/>
              </w:rPr>
            </w:pPr>
            <w:r w:rsidRPr="00E03FD7">
              <w:rPr>
                <w:rFonts w:ascii="Arial" w:hAnsi="Arial" w:cs="Arial"/>
                <w:sz w:val="18"/>
                <w:szCs w:val="20"/>
              </w:rPr>
              <w:t xml:space="preserve">The material in this work is subject to copyright. Because The World Bank encourages dissemination of its knowledge, this work may be reproduced, in whole or in part, for noncommercial purposes as long as full attribution to this work is given. </w:t>
            </w:r>
          </w:p>
          <w:p w:rsidR="00873754" w:rsidRPr="00E03FD7" w:rsidP="00873754">
            <w:pPr>
              <w:pStyle w:val="Default"/>
              <w:rPr>
                <w:rFonts w:ascii="Arial" w:hAnsi="Arial" w:cs="Arial"/>
                <w:sz w:val="18"/>
                <w:szCs w:val="20"/>
              </w:rPr>
            </w:pPr>
          </w:p>
          <w:p w:rsidR="00873754" w:rsidRPr="00E03FD7" w:rsidP="00873754">
            <w:pPr>
              <w:spacing w:after="120"/>
              <w:rPr>
                <w:sz w:val="18"/>
                <w:szCs w:val="20"/>
              </w:rPr>
            </w:pPr>
            <w:r w:rsidRPr="00E03FD7">
              <w:rPr>
                <w:b/>
                <w:sz w:val="18"/>
                <w:szCs w:val="20"/>
              </w:rPr>
              <w:t>Attribution</w:t>
            </w:r>
            <w:r w:rsidRPr="00E03FD7">
              <w:rPr>
                <w:sz w:val="18"/>
                <w:szCs w:val="20"/>
              </w:rPr>
              <w:t xml:space="preserve">—Please cite the work as follows: “World Bank. </w:t>
            </w:r>
            <w:r>
              <w:rPr>
                <w:sz w:val="18"/>
                <w:szCs w:val="20"/>
              </w:rPr>
              <w:t>{</w:t>
            </w:r>
            <w:r w:rsidRPr="00E03FD7">
              <w:rPr>
                <w:sz w:val="18"/>
                <w:szCs w:val="20"/>
              </w:rPr>
              <w:t>YEAR OF PUBLICATION</w:t>
            </w:r>
            <w:r>
              <w:rPr>
                <w:sz w:val="18"/>
                <w:szCs w:val="20"/>
              </w:rPr>
              <w:t>}</w:t>
            </w:r>
            <w:r w:rsidRPr="00E03FD7">
              <w:rPr>
                <w:sz w:val="18"/>
                <w:szCs w:val="20"/>
              </w:rPr>
              <w:t xml:space="preserve">. </w:t>
            </w:r>
            <w:r>
              <w:rPr>
                <w:sz w:val="18"/>
                <w:szCs w:val="20"/>
              </w:rPr>
              <w:t>{</w:t>
            </w:r>
            <w:r w:rsidRPr="00E03FD7">
              <w:rPr>
                <w:sz w:val="18"/>
                <w:szCs w:val="20"/>
              </w:rPr>
              <w:t>TITLE</w:t>
            </w:r>
            <w:r>
              <w:rPr>
                <w:sz w:val="18"/>
                <w:szCs w:val="20"/>
              </w:rPr>
              <w:t>}</w:t>
            </w:r>
            <w:r w:rsidRPr="00E03FD7">
              <w:rPr>
                <w:sz w:val="18"/>
                <w:szCs w:val="20"/>
              </w:rPr>
              <w:t xml:space="preserve">. </w:t>
            </w:r>
            <w:r w:rsidRPr="00E03FD7">
              <w:rPr>
                <w:rFonts w:eastAsia="Times New Roman"/>
                <w:iCs/>
                <w:sz w:val="18"/>
                <w:szCs w:val="20"/>
              </w:rPr>
              <w:t xml:space="preserve">© World Bank.” </w:t>
            </w:r>
          </w:p>
          <w:p w:rsidR="00873754" w:rsidRPr="00E03FD7" w:rsidP="00873754">
            <w:pPr>
              <w:pStyle w:val="Default"/>
              <w:rPr>
                <w:rFonts w:ascii="Arial" w:hAnsi="Arial" w:cs="Arial"/>
                <w:sz w:val="18"/>
                <w:szCs w:val="20"/>
              </w:rPr>
            </w:pPr>
          </w:p>
          <w:p w:rsidR="00873754" w:rsidRPr="00E03FD7" w:rsidP="00873754">
            <w:pPr>
              <w:pStyle w:val="Default"/>
              <w:rPr>
                <w:rFonts w:ascii="Arial" w:hAnsi="Arial" w:cs="Arial"/>
                <w:sz w:val="18"/>
                <w:szCs w:val="20"/>
              </w:rPr>
            </w:pPr>
            <w:r w:rsidRPr="00E03FD7">
              <w:rPr>
                <w:rFonts w:ascii="Arial" w:hAnsi="Arial" w:cs="Arial"/>
                <w:sz w:val="18"/>
                <w:szCs w:val="20"/>
              </w:rPr>
              <w:t xml:space="preserve">All queries on rights and licenses, including subsidiary rights, should be addressed to World Bank Publications, The World Bank Group, 1818 H Street NW, Washington, DC 20433, USA; fax: 202-522-2625; e-mail: </w:t>
            </w:r>
            <w:hyperlink r:id="rId6" w:history="1">
              <w:r w:rsidRPr="002014BA">
                <w:rPr>
                  <w:rStyle w:val="Hyperlink"/>
                  <w:sz w:val="18"/>
                  <w:szCs w:val="20"/>
                </w:rPr>
                <w:t>pubrights@worldbank.org</w:t>
              </w:r>
            </w:hyperlink>
            <w:r w:rsidRPr="00E03FD7">
              <w:rPr>
                <w:rFonts w:ascii="Arial" w:hAnsi="Arial" w:cs="Arial"/>
                <w:sz w:val="18"/>
                <w:szCs w:val="20"/>
              </w:rPr>
              <w:t xml:space="preserve">. </w:t>
            </w:r>
          </w:p>
          <w:p w:rsidR="00A11980">
            <w:pPr>
              <w:rPr>
                <w:color w:val="245086"/>
                <w:sz w:val="18"/>
                <w:szCs w:val="18"/>
              </w:rPr>
            </w:pPr>
          </w:p>
        </w:tc>
      </w:tr>
    </w:tbl>
    <w:p w:rsidR="00A11980">
      <w:bookmarkStart w:id="0" w:name="_GoBack"/>
      <w:bookmarkEnd w:id="0"/>
    </w:p>
    <w:sectPr>
      <w:footerReference w:type="first" r:id="rId7"/>
      <w:pgSz w:w="12242" w:h="15842"/>
      <w:pgMar w:top="240" w:right="600" w:bottom="440" w:left="600" w:header="720" w:footer="72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1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1042"/>
    </w:tblGrid>
    <w:tr>
      <w:tblPrEx>
        <w:tblW w:w="11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Ex>
      <w:tc>
        <w:tcPr>
          <w:tcW w:w="11042" w:type="dxa"/>
          <w:tcBorders>
            <w:top w:val="nil"/>
            <w:left w:val="nil"/>
            <w:bottom w:val="nil"/>
            <w:right w:val="nil"/>
          </w:tcBorders>
          <w:shd w:val="clear" w:color="auto" w:fill="FFFFFF"/>
          <w:vAlign w:val="bottom"/>
        </w:tcPr>
        <w:p w:rsidR="00A11980">
          <w:pPr>
            <w:spacing w:line="320" w:lineRule="atLeast"/>
            <w:rPr>
              <w:sz w:val="20"/>
              <w:szCs w:val="20"/>
            </w:rPr>
          </w:pPr>
          <w:r>
            <w:rPr>
              <w:sz w:val="20"/>
              <w:szCs w:val="20"/>
            </w:rPr>
            <w:t>Document of the World Bank</w:t>
          </w:r>
        </w:p>
      </w:tc>
    </w:tr>
  </w:tbl>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28C"/>
    <w:rsid w:val="002014BA"/>
    <w:rsid w:val="00343D43"/>
    <w:rsid w:val="00662DC4"/>
    <w:rsid w:val="00675DB5"/>
    <w:rsid w:val="00873754"/>
    <w:rsid w:val="009C328C"/>
    <w:rsid w:val="00A11980"/>
    <w:rsid w:val="00E03FD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F59509FE-6FB0-4868-AF13-3F3A6B4C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Header">
    <w:name w:val="header"/>
    <w:basedOn w:val="Normal"/>
    <w:link w:val="HeaderChar"/>
    <w:uiPriority w:val="99"/>
    <w:unhideWhenUsed/>
    <w:rsid w:val="00675DB5"/>
    <w:pPr>
      <w:tabs>
        <w:tab w:val="center" w:pos="4680"/>
        <w:tab w:val="right" w:pos="9360"/>
      </w:tabs>
    </w:pPr>
  </w:style>
  <w:style w:type="character" w:customStyle="1" w:styleId="HeaderChar">
    <w:name w:val="Header Char"/>
    <w:basedOn w:val="DefaultParagraphFont"/>
    <w:link w:val="Header"/>
    <w:uiPriority w:val="99"/>
    <w:rsid w:val="00675DB5"/>
    <w:rPr>
      <w:rFonts w:ascii="Arial" w:hAnsi="Arial" w:cs="Arial"/>
      <w:color w:val="000000"/>
      <w:sz w:val="24"/>
      <w:szCs w:val="24"/>
    </w:rPr>
  </w:style>
  <w:style w:type="paragraph" w:styleId="Footer">
    <w:name w:val="footer"/>
    <w:basedOn w:val="Normal"/>
    <w:link w:val="FooterChar"/>
    <w:uiPriority w:val="99"/>
    <w:unhideWhenUsed/>
    <w:rsid w:val="00675DB5"/>
    <w:pPr>
      <w:tabs>
        <w:tab w:val="center" w:pos="4680"/>
        <w:tab w:val="right" w:pos="9360"/>
      </w:tabs>
    </w:pPr>
  </w:style>
  <w:style w:type="character" w:customStyle="1" w:styleId="FooterChar">
    <w:name w:val="Footer Char"/>
    <w:basedOn w:val="DefaultParagraphFont"/>
    <w:link w:val="Footer"/>
    <w:uiPriority w:val="99"/>
    <w:rsid w:val="00675DB5"/>
    <w:rPr>
      <w:rFonts w:ascii="Arial" w:hAnsi="Arial" w:cs="Arial"/>
      <w:color w:val="000000"/>
      <w:sz w:val="24"/>
      <w:szCs w:val="24"/>
    </w:rPr>
  </w:style>
  <w:style w:type="paragraph" w:customStyle="1" w:styleId="Default">
    <w:name w:val="Default"/>
    <w:rsid w:val="00873754"/>
    <w:pPr>
      <w:autoSpaceDE w:val="0"/>
      <w:autoSpaceDN w:val="0"/>
      <w:adjustRightInd w:val="0"/>
      <w:spacing w:after="0" w:line="240" w:lineRule="auto"/>
    </w:pPr>
    <w:rPr>
      <w:rFonts w:ascii="Times New Roman" w:hAnsi="Times New Roman" w:eastAsiaTheme="minorHAnsi"/>
      <w:color w:val="000000"/>
      <w:sz w:val="24"/>
      <w:szCs w:val="24"/>
    </w:rPr>
  </w:style>
  <w:style w:type="character" w:styleId="Hyperlink">
    <w:name w:val="Hyperlink"/>
    <w:basedOn w:val="DefaultParagraphFont"/>
    <w:uiPriority w:val="99"/>
    <w:unhideWhenUsed/>
    <w:rsid w:val="00873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worldbank.org" TargetMode="External" /><Relationship Id="rId6" Type="http://schemas.openxmlformats.org/officeDocument/2006/relationships/hyperlink" Target="mailto:pubrights@worldbank.org"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