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с одной и двумя очередями и в ходе изменения модели оценить оптимальные параметры.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1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1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numPr>
          <w:ilvl w:val="0"/>
          <w:numId w:val="1002"/>
        </w:numPr>
        <w:pStyle w:val="Compact"/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9" w:name="построение-модел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numPr>
          <w:ilvl w:val="0"/>
          <w:numId w:val="1003"/>
        </w:numPr>
        <w:pStyle w:val="Compact"/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numPr>
          <w:ilvl w:val="0"/>
          <w:numId w:val="1003"/>
        </w:numPr>
        <w:pStyle w:val="Compact"/>
      </w:pPr>
      <w:r>
        <w:t xml:space="preserve">наилучшей стратегии обслуживания автомобилей на пункте пограничного контроля;</w:t>
      </w:r>
    </w:p>
    <w:p>
      <w:pPr>
        <w:numPr>
          <w:ilvl w:val="0"/>
          <w:numId w:val="1003"/>
        </w:numPr>
        <w:pStyle w:val="Compact"/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numPr>
          <w:ilvl w:val="0"/>
          <w:numId w:val="1004"/>
        </w:numPr>
        <w:pStyle w:val="Compact"/>
      </w:pPr>
      <w:r>
        <w:t xml:space="preserve">коэффициенты загрузки системы;</w:t>
      </w:r>
    </w:p>
    <w:p>
      <w:pPr>
        <w:numPr>
          <w:ilvl w:val="0"/>
          <w:numId w:val="1004"/>
        </w:numPr>
        <w:pStyle w:val="Compact"/>
      </w:pPr>
      <w:r>
        <w:t xml:space="preserve">максимальные и средние длины очередей;</w:t>
      </w:r>
    </w:p>
    <w:p>
      <w:pPr>
        <w:numPr>
          <w:ilvl w:val="0"/>
          <w:numId w:val="1004"/>
        </w:numPr>
        <w:pStyle w:val="Compact"/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 1).</w:t>
      </w:r>
    </w:p>
    <w:p>
      <w:pPr>
        <w:pStyle w:val="CaptionedFigure"/>
      </w:pPr>
      <w:bookmarkStart w:id="26" w:name="fig:001"/>
      <w:r>
        <w:drawing>
          <wp:inline>
            <wp:extent cx="5334000" cy="4424876"/>
            <wp:effectExtent b="0" l="0" r="0" t="0"/>
            <wp:docPr descr="Рис. 1: Модель первой стратегии обслужив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 2).</w:t>
      </w:r>
    </w:p>
    <w:p>
      <w:pPr>
        <w:pStyle w:val="CaptionedFigure"/>
      </w:pPr>
      <w:bookmarkStart w:id="30" w:name="fig:002"/>
      <w:r>
        <w:drawing>
          <wp:inline>
            <wp:extent cx="5334000" cy="6237661"/>
            <wp:effectExtent b="0" l="0" r="0" t="0"/>
            <wp:docPr descr="Рис. 2: Отчёт по модели первой стратегии обслужив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Отчёт по модели первой стратегии обслуживания</w:t>
      </w:r>
    </w:p>
    <w:p>
      <w:pPr>
        <w:pStyle w:val="BodyText"/>
      </w:pPr>
      <w:r>
        <w:t xml:space="preserve">Модель для второй стратегии обслуживания, в которой прибывающие автомобили образуют одну очередь и обслуживаются освободившимся пропускным пунктом (рис. 3, 4).</w:t>
      </w:r>
    </w:p>
    <w:p>
      <w:pPr>
        <w:pStyle w:val="CaptionedFigure"/>
      </w:pPr>
      <w:bookmarkStart w:id="34" w:name="fig:003"/>
      <w:r>
        <w:drawing>
          <wp:inline>
            <wp:extent cx="5334000" cy="2250947"/>
            <wp:effectExtent b="0" l="0" r="0" t="0"/>
            <wp:docPr descr="Рис. 3: Модель второй стратегии обслуживан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Модель второй стратегии обслуживания</w:t>
      </w:r>
    </w:p>
    <w:p>
      <w:pPr>
        <w:pStyle w:val="CaptionedFigure"/>
      </w:pPr>
      <w:bookmarkStart w:id="38" w:name="fig:004"/>
      <w:r>
        <w:drawing>
          <wp:inline>
            <wp:extent cx="5334000" cy="4884046"/>
            <wp:effectExtent b="0" l="0" r="0" t="0"/>
            <wp:docPr descr="Рис. 4: Отчет по модели второй стратегии обслуживан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rPr>
          <w:bCs/>
          <w:b/>
        </w:rPr>
        <w:t xml:space="preserve">¿tbl:strategy?</w:t>
      </w:r>
      <w:r>
        <w:t xml:space="preserve">).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мы видим,</w:t>
      </w:r>
      <w:r>
        <w:t xml:space="preserve"> </w:t>
      </w:r>
      <w:r>
        <w:t xml:space="preserve">что первая модель позволяет обслужить большее число автомобилей. Однако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следовательно,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9"/>
    <w:bookmarkStart w:id="80" w:name="Xf93fd02b9c527d9f12f26d897c7ed4444cb9e0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numPr>
          <w:ilvl w:val="0"/>
          <w:numId w:val="1005"/>
        </w:numPr>
        <w:pStyle w:val="Compact"/>
      </w:pPr>
      <w:r>
        <w:t xml:space="preserve">коэффициент загрузки пропускных пунктов принадлежит интервалу [0, 5; 0, 95];</w:t>
      </w:r>
    </w:p>
    <w:p>
      <w:pPr>
        <w:numPr>
          <w:ilvl w:val="0"/>
          <w:numId w:val="1005"/>
        </w:numPr>
        <w:pStyle w:val="Compact"/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  <w:pStyle w:val="Compact"/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 5).</w:t>
      </w:r>
    </w:p>
    <w:p>
      <w:pPr>
        <w:pStyle w:val="CaptionedFigure"/>
      </w:pPr>
      <w:bookmarkStart w:id="43" w:name="fig:005"/>
      <w:r>
        <w:drawing>
          <wp:inline>
            <wp:extent cx="5334000" cy="2036419"/>
            <wp:effectExtent b="0" l="0" r="0" t="0"/>
            <wp:docPr descr="Рис. 5: Модель двух стратегий обслуживания с 1 пропускным пунктом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 5).</w:t>
      </w:r>
    </w:p>
    <w:p>
      <w:pPr>
        <w:pStyle w:val="CaptionedFigure"/>
      </w:pPr>
      <w:bookmarkStart w:id="47" w:name="fig:006"/>
      <w:r>
        <w:drawing>
          <wp:inline>
            <wp:extent cx="5334000" cy="4474676"/>
            <wp:effectExtent b="0" l="0" r="0" t="0"/>
            <wp:docPr descr="Рис. 6: Отчёт по модели двух стратегий обслуживания с 1 пропускным пунктом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 7, 8).</w:t>
      </w:r>
    </w:p>
    <w:p>
      <w:pPr>
        <w:pStyle w:val="CaptionedFigure"/>
      </w:pPr>
      <w:bookmarkStart w:id="51" w:name="fig:007"/>
      <w:r>
        <w:drawing>
          <wp:inline>
            <wp:extent cx="5334000" cy="3596830"/>
            <wp:effectExtent b="0" l="0" r="0" t="0"/>
            <wp:docPr descr="Рис. 7: Модель первой стратегии обслуживания с 3 пропускными пунктам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Модель первой стратегии обслуживания с 3 пропускными пунктами</w:t>
      </w:r>
    </w:p>
    <w:p>
      <w:pPr>
        <w:pStyle w:val="CaptionedFigure"/>
      </w:pPr>
      <w:bookmarkStart w:id="55" w:name="fig:008"/>
      <w:r>
        <w:drawing>
          <wp:inline>
            <wp:extent cx="5334000" cy="5737479"/>
            <wp:effectExtent b="0" l="0" r="0" t="0"/>
            <wp:docPr descr="Рис. 8: Отчёт по модели первой стратегии обслуживания с 3 пропускными пунктам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 9, 10).</w:t>
      </w:r>
    </w:p>
    <w:p>
      <w:pPr>
        <w:pStyle w:val="CaptionedFigure"/>
      </w:pPr>
      <w:bookmarkStart w:id="59" w:name="fig:009"/>
      <w:r>
        <w:drawing>
          <wp:inline>
            <wp:extent cx="5334000" cy="3949160"/>
            <wp:effectExtent b="0" l="0" r="0" t="0"/>
            <wp:docPr descr="Рис. 9: Модель первой стратегии обслуживания с 4 пропускными пунктами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Модель первой стратегии обслуживания с 4 пропускными пунктами</w:t>
      </w:r>
    </w:p>
    <w:p>
      <w:pPr>
        <w:pStyle w:val="CaptionedFigure"/>
      </w:pPr>
      <w:bookmarkStart w:id="63" w:name="fig:010"/>
      <w:r>
        <w:drawing>
          <wp:inline>
            <wp:extent cx="5334000" cy="3521242"/>
            <wp:effectExtent b="0" l="0" r="0" t="0"/>
            <wp:docPr descr="Рис. 10: Отчёт по модели первой стратегии обслуживания с 4 пропускными пунктами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Cs/>
          <w:i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 11, 12).</w:t>
      </w:r>
    </w:p>
    <w:p>
      <w:pPr>
        <w:pStyle w:val="CaptionedFigure"/>
      </w:pPr>
      <w:bookmarkStart w:id="67" w:name="fig:011"/>
      <w:r>
        <w:drawing>
          <wp:inline>
            <wp:extent cx="5245768" cy="3099334"/>
            <wp:effectExtent b="0" l="0" r="0" t="0"/>
            <wp:docPr descr="Рис. 11: Модель второй стратегии обслуживания с 3 пропускными пунктами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Модель второй стратегии обслуживания с 3 пропускными пунктами</w:t>
      </w:r>
    </w:p>
    <w:p>
      <w:pPr>
        <w:pStyle w:val="CaptionedFigure"/>
      </w:pPr>
      <w:bookmarkStart w:id="71" w:name="fig:012"/>
      <w:r>
        <w:drawing>
          <wp:inline>
            <wp:extent cx="5334000" cy="4144996"/>
            <wp:effectExtent b="0" l="0" r="0" t="0"/>
            <wp:docPr descr="Рис. 12: Отчёт по модели второй стратегии обслуживания с 3 пропускными пунктам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Cs/>
          <w:i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 11, 12).</w:t>
      </w:r>
    </w:p>
    <w:p>
      <w:pPr>
        <w:pStyle w:val="CaptionedFigure"/>
      </w:pPr>
      <w:bookmarkStart w:id="75" w:name="fig:013"/>
      <w:r>
        <w:drawing>
          <wp:inline>
            <wp:extent cx="5334000" cy="2952431"/>
            <wp:effectExtent b="0" l="0" r="0" t="0"/>
            <wp:docPr descr="Рис. 13: Модель второй стратегии обслуживания с 4 пропускными пунктами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Модель второй стратегии обслуживания с 4 пропускными пунктами</w:t>
      </w:r>
    </w:p>
    <w:p>
      <w:pPr>
        <w:pStyle w:val="CaptionedFigure"/>
      </w:pPr>
      <w:bookmarkStart w:id="79" w:name="fig:014"/>
      <w:r>
        <w:drawing>
          <wp:inline>
            <wp:extent cx="5334000" cy="3616944"/>
            <wp:effectExtent b="0" l="0" r="0" t="0"/>
            <wp:docPr descr="Рис. 14: Отчёт по модели второй стратегии обслуживания с 4 пропускными пунктами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Отчёт по модели второй стратегии обслуживания с 4 пропускными пунктами</w:t>
      </w:r>
    </w:p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Cs/>
          <w:i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4 при первом</w:t>
      </w:r>
      <w:r>
        <w:t xml:space="preserve">.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numPr>
          <w:ilvl w:val="0"/>
          <w:numId w:val="1006"/>
        </w:numPr>
        <w:pStyle w:val="Compact"/>
      </w:pPr>
      <w:r>
        <w:t xml:space="preserve">модель с двумя очередями;</w:t>
      </w:r>
    </w:p>
    <w:p>
      <w:pPr>
        <w:numPr>
          <w:ilvl w:val="0"/>
          <w:numId w:val="1006"/>
        </w:numPr>
        <w:pStyle w:val="Compact"/>
      </w:pPr>
      <w:r>
        <w:t xml:space="preserve">модель с одной очередью;</w:t>
      </w:r>
    </w:p>
    <w:p>
      <w:pPr>
        <w:numPr>
          <w:ilvl w:val="0"/>
          <w:numId w:val="1006"/>
        </w:numPr>
        <w:pStyle w:val="Compact"/>
      </w:pPr>
      <w:r>
        <w:t xml:space="preserve">изменить модели, чтобы определить оптимальное число пропускных пунктов.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Тимофеева Екатерина Николаевна</dc:creator>
  <dc:language>ru-RU</dc:language>
  <cp:keywords/>
  <dcterms:created xsi:type="dcterms:W3CDTF">2025-05-24T19:20:29Z</dcterms:created>
  <dcterms:modified xsi:type="dcterms:W3CDTF">2025-05-24T19:20:29Z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Задачи оптимизации. Модель двух стратегий обслуживания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