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для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для разложения чисел на множители программно.</w:t>
      </w:r>
    </w:p>
    <w:p>
      <w:pPr>
        <w:numPr>
          <w:ilvl w:val="0"/>
          <w:numId w:val="1001"/>
        </w:numPr>
      </w:pPr>
      <w:r>
        <w:t xml:space="preserve">Разложить на множители данное в примере к лабораторной работе число.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P-метод Полларда.</w:t>
      </w:r>
      <w:r>
        <w:t xml:space="preserve"> </w:t>
      </w:r>
      <w:r>
        <w:t xml:space="preserve">## Факторизация целых чисел</w:t>
      </w:r>
    </w:p>
    <w:p>
      <w:pPr>
        <w:pStyle w:val="BodyText"/>
      </w:pPr>
      <w:r>
        <w:t xml:space="preserve">Факторизацией натурального числа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из основной теоремы арифметики.</w:t>
      </w:r>
    </w:p>
    <w:p>
      <w:pPr>
        <w:pStyle w:val="BodyText"/>
      </w:pPr>
      <w:r>
        <w:t xml:space="preserve"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полиномиальное время, также нет.</w:t>
      </w:r>
    </w:p>
    <w:p>
      <w:pPr>
        <w:pStyle w:val="BodyText"/>
      </w:pPr>
      <w:r>
        <w:t xml:space="preserve"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задачи.</w:t>
      </w:r>
    </w:p>
    <w:bookmarkStart w:id="22" w:name="p-алгоритм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P-алгоритм Полларда</w:t>
      </w:r>
    </w:p>
    <w:p>
      <w:pPr>
        <w:pStyle w:val="FirstParagraph"/>
      </w:pPr>
      <w:r>
        <w:t xml:space="preserve">Ро-алгоритм (</w:t>
      </w:r>
      <m:oMath>
        <m:r>
          <m:t>ρ</m:t>
        </m:r>
      </m:oMath>
      <w:r>
        <w:t xml:space="preserve"> </w:t>
      </w:r>
      <w:r>
        <w:t xml:space="preserve">-алгоритм)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</w:p>
    <w:p>
      <w:pPr>
        <w:pStyle w:val="BodyText"/>
      </w:pPr>
      <w:r>
        <w:t xml:space="preserve">Также хотелось бы упомянуть P-1 алгоритм Полларда.</w:t>
      </w:r>
    </w:p>
    <w:bookmarkEnd w:id="22"/>
    <w:bookmarkStart w:id="23" w:name="p-1-алгоритм-поллар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(P-1) алгоритм Полларда</w:t>
      </w:r>
    </w:p>
    <w:p>
      <w:pPr>
        <w:pStyle w:val="FirstParagraph"/>
      </w:pPr>
      <w:r>
        <w:t xml:space="preserve">(P-1) алгоритм Полларда впервые опубликован британским математиком Джоном Поллардом в 1974 году. Именно появление данного алгоритма привело к изменению понятия сильного простого числа, используемого в криптографии, нестрого говоря, простого числа, для которого p-1 имеет достаточно большие делители. В современных криптосистемах стараются использовать именно сильные простые числа, так как это повышает стойкость используемых алгоритмов и систем в целом.</w:t>
      </w:r>
    </w:p>
    <w:bookmarkEnd w:id="23"/>
    <w:bookmarkEnd w:id="24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по разложение чисел на множители.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41" w:name="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P-метод Полларда</w:t>
      </w:r>
    </w:p>
    <w:p>
      <w:pPr>
        <w:pStyle w:val="CaptionedFigure"/>
      </w:pPr>
      <w:bookmarkStart w:id="28" w:name="fig:001"/>
      <w:r>
        <w:drawing>
          <wp:inline>
            <wp:extent cx="2967004" cy="511552"/>
            <wp:effectExtent b="0" l="0" r="0" t="0"/>
            <wp:docPr descr="Figure 1: Входные данные для реализации алгоритма для разложения чисел на множител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Входные данные для реализации алгоритма для разложения чисел на множители</w:t>
      </w:r>
    </w:p>
    <w:p>
      <w:pPr>
        <w:pStyle w:val="CaptionedFigure"/>
      </w:pPr>
      <w:bookmarkStart w:id="32" w:name="fig:002"/>
      <w:r>
        <w:drawing>
          <wp:inline>
            <wp:extent cx="4962058" cy="4757437"/>
            <wp:effectExtent b="0" l="0" r="0" t="0"/>
            <wp:docPr descr="Figure 2: Реализация алгоритма p-метод Поллард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Реализация алгоритма p-метод Полларда</w:t>
      </w:r>
    </w:p>
    <w:p>
      <w:pPr>
        <w:pStyle w:val="CaptionedFigure"/>
      </w:pPr>
      <w:bookmarkStart w:id="36" w:name="fig:003"/>
      <w:r>
        <w:drawing>
          <wp:inline>
            <wp:extent cx="3337879" cy="4194730"/>
            <wp:effectExtent b="0" l="0" r="0" t="0"/>
            <wp:docPr descr="Figure 3: Реализация алгоритма p-метод Поллард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Реализация алгоритма p-метод Полларда</w:t>
      </w:r>
    </w:p>
    <w:p>
      <w:pPr>
        <w:pStyle w:val="BodyText"/>
      </w:pPr>
      <w:r>
        <w:t xml:space="preserve">Был взяты данные из пояснения к лабораторной работе. Они были подставлены в программу. Получен следующий результат.</w:t>
      </w:r>
    </w:p>
    <w:p>
      <w:pPr>
        <w:pStyle w:val="CaptionedFigure"/>
      </w:pPr>
      <w:bookmarkStart w:id="40" w:name="fig:004"/>
      <w:r>
        <w:drawing>
          <wp:inline>
            <wp:extent cx="665018" cy="319720"/>
            <wp:effectExtent b="0" l="0" r="0" t="0"/>
            <wp:docPr descr="Figure 4: Результат реализации алгоритма p-метод Полларда на примере" title="" id="38" name="Picture"/>
            <a:graphic>
              <a:graphicData uri="http://schemas.openxmlformats.org/drawingml/2006/picture">
                <pic:pic>
                  <pic:nvPicPr>
                    <pic:cNvPr descr="image/r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8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Результат реализации алгоритма p-метод Полларда на примере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алгоритмом разложения чисел (P-методом Полларда), реализовала данный алгоритмй на языке программирования Python 3, получила результат, схожий с данным в описании к лабораторной работе.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Википедия. Факторизация целых чисел [Электронный ресурс]. Википедия, свободная энциклопедия, 2023. URL: https://ru.wikipedia.org/wiki/Факторизация_целых_чисел.</w:t>
      </w:r>
    </w:p>
    <w:p>
      <w:pPr>
        <w:numPr>
          <w:ilvl w:val="0"/>
          <w:numId w:val="1002"/>
        </w:numPr>
        <w:pStyle w:val="Compact"/>
      </w:pPr>
      <w:r>
        <w:t xml:space="preserve">Википедия. Ро-алгоритм Полларда [Электронный ресурс]. Википедия, свободная энциклопедия, 2023. URL: https://ru.wikipedia.org/wiki/Ро-алгоритм_Полларда.</w:t>
      </w:r>
    </w:p>
    <w:p>
      <w:pPr>
        <w:numPr>
          <w:ilvl w:val="0"/>
          <w:numId w:val="1002"/>
        </w:numPr>
        <w:pStyle w:val="Compact"/>
      </w:pPr>
      <w:r>
        <w:t xml:space="preserve">Википедия. Р-1-алгоритм Полларда [Электронный ресурс]. Википедия, свободная энциклопедия, 2023. URL: https://ru.wikipedia.org/wiki/P−1-метод_Полларда.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Разложение чисел на множители</dc:title>
  <dc:creator>Студент: Банникова Екатерина Алексеевна; Группа: НФИмд-02-23</dc:creator>
  <dc:language>ru-RU</dc:language>
  <cp:keywords/>
  <dcterms:created xsi:type="dcterms:W3CDTF">2023-11-07T20:27:04Z</dcterms:created>
  <dcterms:modified xsi:type="dcterms:W3CDTF">2023-11-07T20:27:04Z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2023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Scale=MatchLowercase,Scale=0.8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