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выбрать качественное ювелирное изделие?</w:t>
      </w:r>
    </w:p>
    <w:p>
      <w:pPr>
        <w:pStyle w:val="Subtitle"/>
      </w:pPr>
      <w:r>
        <w:t>Памятка для потребителя</w:t>
      </w:r>
    </w:p>
    <w:p>
      <w:pPr>
        <w:pStyle w:val="Quote"/>
        <w:jc w:val="right"/>
      </w:pPr>
      <w:r>
        <w:rPr>
          <w:i w:val="0"/>
        </w:rPr>
        <w:t>Лучшие друзья девушек – это бриллианты! (Мэрилин Монро)</w:t>
      </w:r>
    </w:p>
    <w:p>
      <w:r>
        <w:rPr>
          <w:i w:val="0"/>
        </w:rPr>
        <w:t>Как же правильно выбрать ювелирное украшение? Какие нюансы необходимо учитывать?</w:t>
      </w:r>
    </w:p>
    <w:p>
      <w:pPr>
        <w:pStyle w:val="Heading1"/>
      </w:pPr>
      <w:r>
        <w:t>Драгоценная оправа</w:t>
      </w:r>
    </w:p>
    <w:p>
      <w:r>
        <w:rPr>
          <w:b/>
        </w:rPr>
        <w:t xml:space="preserve">Выбирая украшения, </w:t>
      </w:r>
      <w:r>
        <w:rPr>
          <w:i w:val="0"/>
        </w:rPr>
        <w:t>в первую очередь необходимо проверить наличие пробы. Подлинное изделие должно иметь оттиск государственных пробирных клейм Российской Федерации, а также оттиск именников изготовителей (для изделий российского производства) (Постановление Правительства № 55 от 19.01.1998 г.).</w:t>
      </w:r>
    </w:p>
    <w:p>
      <w:r>
        <w:rPr>
          <w:i w:val="0"/>
        </w:rPr>
        <w:t>Сплавы драгоценных металлов должны соответствовать ГОСТ 30649-99.</w:t>
      </w:r>
    </w:p>
    <w:p>
      <w:r>
        <w:rPr>
          <w:i w:val="0"/>
        </w:rPr>
        <w:t>В соответствии с Постановлением Правительства РФ от 18.06.1999 г. № 643 «О порядке опробования и клеймения изделий из драгоценных металлов» к золоту относятся 999, 958, 750, 585, 500 и 375 пробы. Изделия из серебра в России наиболее распространены 925 пробы.</w:t>
      </w:r>
    </w:p>
    <w:p>
      <w:r>
        <w:rPr>
          <w:b/>
          <w:i w:val="0"/>
        </w:rPr>
        <w:t>Таблица 1. Пробы драгоценных металлов, установленные в Российской Федерации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Драгоценный металл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Пробы</w:t>
            </w:r>
          </w:p>
        </w:tc>
      </w:tr>
      <w:tr>
        <w:tc>
          <w:tcPr>
            <w:tcW w:type="dxa" w:w="4320"/>
          </w:tcPr>
          <w:p>
            <w:r>
              <w:t>Платина</w:t>
            </w:r>
          </w:p>
        </w:tc>
        <w:tc>
          <w:tcPr>
            <w:tcW w:type="dxa" w:w="4320"/>
          </w:tcPr>
          <w:p>
            <w:r>
              <w:t>950, 900, 850</w:t>
            </w:r>
          </w:p>
        </w:tc>
      </w:tr>
      <w:tr>
        <w:tc>
          <w:tcPr>
            <w:tcW w:type="dxa" w:w="4320"/>
          </w:tcPr>
          <w:p>
            <w:r>
              <w:t>Золото</w:t>
            </w:r>
          </w:p>
        </w:tc>
        <w:tc>
          <w:tcPr>
            <w:tcW w:type="dxa" w:w="4320"/>
          </w:tcPr>
          <w:p>
            <w:r>
              <w:t>999, 958, 750, 585, 500, 375</w:t>
            </w:r>
          </w:p>
        </w:tc>
      </w:tr>
      <w:tr>
        <w:tc>
          <w:tcPr>
            <w:tcW w:type="dxa" w:w="4320"/>
          </w:tcPr>
          <w:p>
            <w:r>
              <w:t>Серебро</w:t>
            </w:r>
          </w:p>
        </w:tc>
        <w:tc>
          <w:tcPr>
            <w:tcW w:type="dxa" w:w="4320"/>
          </w:tcPr>
          <w:p>
            <w:r>
              <w:t>999, 960, 925, 875, 830, 800</w:t>
            </w:r>
          </w:p>
        </w:tc>
      </w:tr>
      <w:tr>
        <w:tc>
          <w:tcPr>
            <w:tcW w:type="dxa" w:w="4320"/>
          </w:tcPr>
          <w:p>
            <w:r>
              <w:t>Палладий</w:t>
            </w:r>
          </w:p>
        </w:tc>
        <w:tc>
          <w:tcPr>
            <w:tcW w:type="dxa" w:w="4320"/>
          </w:tcPr>
          <w:p>
            <w:r>
              <w:t>850, 500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1800000" cy="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Рисунок 1. Пример обозначения пробы на изделии</w:t>
      </w:r>
    </w:p>
    <w:p>
      <w:pPr>
        <w:pStyle w:val="Heading1"/>
      </w:pPr>
      <w:r>
        <w:t>Правильная этикетка (бирка)</w:t>
      </w:r>
    </w:p>
    <w:p>
      <w:r>
        <w:rPr>
          <w:i w:val="0"/>
        </w:rPr>
        <w:t>Этикетка – это паспорт изделия, содержащий всю необходимую для потребителя информацию.</w:t>
      </w:r>
    </w:p>
    <w:p>
      <w:r>
        <w:rPr>
          <w:i w:val="0"/>
        </w:rPr>
        <w:t>В первую очередь обратите внимание на внешний вид этикетки. Она должна быть изготовлена из белой плотной бумаги и иметь отверстие для пропуска нити, соединяющей бирку с украшением. Кроме того, этикетка должна быть опломбирована. При этом пломба обязательно имеет чёткий оттиск предприятия-изготовителя. Например, на изделиях SOKOLOV это латинская буква «S».</w:t>
      </w:r>
    </w:p>
    <w:p>
      <w:r>
        <w:rPr>
          <w:i w:val="0"/>
        </w:rPr>
        <w:t>Перечень реквизитов на этикетке ювелирного изделия регламентируется Отраслевым стандартом (ОСТ 117-3-002-95). Основной информацией, представленной на этикетке к гарнитуру или набору, является следующая:</w:t>
      </w:r>
    </w:p>
    <w:p>
      <w:pPr>
        <w:pStyle w:val="ListNumber"/>
      </w:pPr>
      <w:r>
        <w:t>наименование и товарный знак предприятия-изготовителя;</w:t>
      </w:r>
    </w:p>
    <w:p>
      <w:pPr>
        <w:pStyle w:val="ListNumber"/>
      </w:pPr>
      <w:r>
        <w:t>наименование гарнитура или набора;</w:t>
      </w:r>
    </w:p>
    <w:p>
      <w:pPr>
        <w:pStyle w:val="ListNumber"/>
      </w:pPr>
      <w:r>
        <w:t>артикул гарнитура или набора;</w:t>
      </w:r>
    </w:p>
    <w:p>
      <w:pPr>
        <w:pStyle w:val="ListNumber"/>
      </w:pPr>
      <w:r>
        <w:t>артикул и цена каждого изделия, входящего в гарнитур или набор;</w:t>
      </w:r>
    </w:p>
    <w:p>
      <w:pPr>
        <w:pStyle w:val="ListNumber"/>
      </w:pPr>
      <w:r>
        <w:t>наименование и количество каждого изделия, входящего в гарнитур или набор;</w:t>
      </w:r>
    </w:p>
    <w:p>
      <w:pPr>
        <w:pStyle w:val="ListNumber"/>
      </w:pPr>
      <w:r>
        <w:t>наименование и проба драгоценного металла;</w:t>
      </w:r>
    </w:p>
    <w:p>
      <w:pPr>
        <w:pStyle w:val="ListNumber"/>
      </w:pPr>
      <w:r>
        <w:t>масса гарнитура или набора в граммах (для весовых изделий);</w:t>
      </w:r>
    </w:p>
    <w:p>
      <w:pPr>
        <w:pStyle w:val="ListNumber"/>
      </w:pPr>
      <w:r>
        <w:t>цена гарнитура или набора (с надбавкой за комплектацию и футляр, при наличии последнего);</w:t>
      </w:r>
    </w:p>
    <w:p>
      <w:pPr>
        <w:pStyle w:val="ListNumber"/>
      </w:pPr>
      <w:r>
        <w:t>обозначение настоящего стандарта;</w:t>
      </w:r>
    </w:p>
    <w:p>
      <w:pPr>
        <w:pStyle w:val="ListNumber"/>
      </w:pPr>
      <w:r>
        <w:t>месяц и год изготовления (при необходимости);</w:t>
      </w:r>
    </w:p>
    <w:p>
      <w:pPr>
        <w:pStyle w:val="ListNumber"/>
      </w:pPr>
      <w:r>
        <w:t>штамп ОТК.</w:t>
      </w:r>
    </w:p>
    <w:p>
      <w:r>
        <w:rPr>
          <w:i w:val="0"/>
        </w:rPr>
        <w:t>Также на этикетке обязательно указываются описание вставки (её наименование и материал), размер изделия (кольца, браслета, цепочки) и его длина (для цепей и браслетов).</w:t>
      </w:r>
    </w:p>
    <w:p>
      <w:pPr>
        <w:pStyle w:val="Heading1"/>
      </w:pPr>
      <w:r>
        <w:t>Ювелирные вставки</w:t>
      </w:r>
    </w:p>
    <w:p>
      <w:r>
        <w:rPr>
          <w:i w:val="0"/>
        </w:rPr>
        <w:t>Драгоценные и поделочные, крупные и небольшие, дорогостоящие и не очень – камни различных расцветок и форм могут украсить любое изделие.</w:t>
      </w:r>
    </w:p>
    <w:p>
      <w:r>
        <w:rPr>
          <w:i w:val="0"/>
        </w:rPr>
        <w:t>Продажа бриллиантов, алмазов и ограненных изумрудов осуществляется только при наличии сертификата на каждый камень или набор (партию) продаваемых камней.</w:t>
      </w:r>
    </w:p>
    <w:p>
      <w:r>
        <w:rPr>
          <w:i w:val="0"/>
        </w:rPr>
        <w:t>Этикетка является сертификатом на закреплённые камни, содержащим всю необходимую информацию о минерале: наименование материала, вес камня и его характеристики (особенно для драгоценных камней). Изделия из драгоценных металлов и драгоценных камней, а также ограненные природные драгоценные камни должны иметь индивидуальную упаковку.</w:t>
      </w:r>
    </w:p>
    <w:p>
      <w:r>
        <w:rPr>
          <w:i w:val="0"/>
        </w:rPr>
        <w:t>Рекомендуется приобретать изделия в специализированных магазинах или у официальных представителей. Так вы избежите риска купить подделку.</w:t>
      </w:r>
    </w:p>
    <w:p>
      <w:pPr>
        <w:pStyle w:val="Heading1"/>
      </w:pPr>
      <w:r>
        <w:t>Внешний вид и замок</w:t>
      </w:r>
    </w:p>
    <w:p>
      <w:r>
        <w:rPr>
          <w:i w:val="0"/>
        </w:rPr>
        <w:t>При выборе украшения обязательно обратите внимание на отсутствие видимых повреждений (дефектов):</w:t>
      </w:r>
    </w:p>
    <w:p>
      <w:pPr>
        <w:pStyle w:val="ListBullet"/>
      </w:pPr>
      <w:r>
        <w:t>шлифованная поверхность изделий должна быть равномерной, а полированная – доведённой до блеска и не иметь каких-либо трещин, царапин и вмятин;</w:t>
      </w:r>
    </w:p>
    <w:p>
      <w:pPr>
        <w:pStyle w:val="ListBullet"/>
      </w:pPr>
      <w:r>
        <w:t>у матового украшения оцените равномерность матового покрытия и его бархатистый вид, четкость контура резных деталей;</w:t>
      </w:r>
    </w:p>
    <w:p>
      <w:pPr>
        <w:pStyle w:val="ListBullet"/>
      </w:pPr>
      <w:r>
        <w:t>украшение не должно иметь следов инструмента, волнистости, следов клея, пятен и потёртостей.</w:t>
      </w:r>
    </w:p>
    <w:p>
      <w:r>
        <w:rPr>
          <w:i w:val="0"/>
        </w:rPr>
        <w:t>При покупке серёг, брошей, разъёмных браслетов и шейных украшений обратите внимание на наличие и качество замка. Замок на изделии должен быть удобным и надёжным. Проверьте, чтобы застёгнутое украшение не открывалось само по себе. Обратите внимание на качество резьбы замка (если таковая имеется): не должно быть пропусков и срывов. Замки браслетов и брошей обязательно снабжены предохранителем.</w:t>
      </w:r>
    </w:p>
    <w:p>
      <w:pPr>
        <w:pStyle w:val="Heading1"/>
      </w:pPr>
      <w:r>
        <w:t>Обмен, возврат и претензии</w:t>
      </w:r>
    </w:p>
    <w:p>
      <w:r>
        <w:rPr>
          <w:i w:val="0"/>
        </w:rPr>
        <w:t>Изделия из драгоценных металлов, с драгоценными камнями, из драгоценных металлов со вставками из полудрагоценных и синтетических камней, ограненные драгоценные камни согласно Постановлению Правительства № 55 от 19.01.1998 г. входят в Перечень непродовольственных товаров надлежащего качества, не подлежащих возврату или обмену на аналогичный товар других размера, формы, габарита, фасона, расцветки или комплектации, следовательно, обмену или возврату не подлежат.</w:t>
      </w:r>
    </w:p>
    <w:p>
      <w:pPr>
        <w:pStyle w:val="Heading2"/>
      </w:pPr>
      <w:r>
        <w:t>Сроки предъявления претензии продавцу при обнаружении дефекта</w:t>
      </w:r>
    </w:p>
    <w:p>
      <w:pPr>
        <w:pStyle w:val="ListNumber2"/>
      </w:pPr>
      <w:r>
        <w:t>ОСТ 117-3-002-95 закрепляет срок выявления скрытого дефекта – 6 месяцев.</w:t>
      </w:r>
    </w:p>
    <w:p>
      <w:pPr>
        <w:pStyle w:val="ListNumber2"/>
      </w:pPr>
      <w:r>
        <w:t>Если изготовитель установил гарантийный срок менее двух лет, а покупатель обнаружил дефект после истечения гарантийного срока, но в пределах двух лет, покупатель обладает всеми правами, перечисленными в ст. 18 Закона «О защите прав потребителей». Если гарантийный срок установлен, то при обнаружении недостатка товара покупатель не обязан доказывать, что недостатки возникли до момента передачи ему товара: такая обязанность лежит на продавце.</w:t>
      </w:r>
    </w:p>
    <w:p>
      <w:pPr>
        <w:pStyle w:val="ListNumber2"/>
      </w:pPr>
      <w:r>
        <w:t>Если гарантийный срок не был установлен изготовителем, нужно обратить внимание на срок службы товара. В течение срока службы изготовитель несет ответственность за товар и обязан при обнаружении дефекта безвозмездно его устранить.</w:t>
      </w:r>
    </w:p>
    <w:p>
      <w:r>
        <w:rPr>
          <w:i w:val="0"/>
        </w:rPr>
        <w:t>Следуя этим простым советам, Вы сможете подобрать качественное и подлинное ювелирное украшение, которое будет радовать Вас своей красотой долгие годы!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Консультационный пункт по защите прав потребителей: пер. Нежинский, 3А, кабинет № 7, тел. (3537) 26-91-08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Филиал ФБУЗ «Центр гигиены и эпидемиологии в Оренбургской области» в городе Орске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выбрать качественное ювелирное изделие</dc:title>
  <dc:subject/>
  <dc:creator>Тестовый корпус</dc:creator>
  <cp:keywords/>
  <dc:description>generated by python-docx</dc:description>
  <cp:lastModifiedBy/>
  <cp:revision>1</cp:revision>
  <dcterms:created xsi:type="dcterms:W3CDTF">2026-10-17T12:00:00Z</dcterms:created>
  <dcterms:modified xsi:type="dcterms:W3CDTF">2026-10-17T12:00:00Z</dcterms:modified>
  <cp:category/>
</cp:coreProperties>
</file>