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A6356F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034BA3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034BA3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034BA3">
              <w:rPr>
                <w:rStyle w:val="a9"/>
                <w:color w:val="auto"/>
              </w:rPr>
              <w:t>10 Разработка плана тестирования проекта</w:t>
            </w:r>
            <w:r w:rsidR="00DD3AEF" w:rsidRPr="00034BA3">
              <w:rPr>
                <w:webHidden/>
              </w:rPr>
              <w:tab/>
            </w:r>
            <w:r w:rsidR="00DD3AEF" w:rsidRPr="00034BA3">
              <w:rPr>
                <w:b/>
                <w:i/>
                <w:webHidden/>
              </w:rPr>
              <w:fldChar w:fldCharType="begin"/>
            </w:r>
            <w:r w:rsidR="00DD3AEF" w:rsidRPr="00034BA3">
              <w:rPr>
                <w:webHidden/>
              </w:rPr>
              <w:instrText xml:space="preserve"> PAGEREF _Toc124728875 \h </w:instrText>
            </w:r>
            <w:r w:rsidR="00DD3AEF" w:rsidRPr="00034BA3">
              <w:rPr>
                <w:b/>
                <w:i/>
                <w:webHidden/>
              </w:rPr>
            </w:r>
            <w:r w:rsidR="00DD3AEF" w:rsidRPr="00034BA3">
              <w:rPr>
                <w:b/>
                <w:i/>
                <w:webHidden/>
              </w:rPr>
              <w:fldChar w:fldCharType="separate"/>
            </w:r>
            <w:r w:rsidR="00DD3AEF" w:rsidRPr="00034BA3">
              <w:rPr>
                <w:webHidden/>
              </w:rPr>
              <w:t>29</w:t>
            </w:r>
            <w:r w:rsidR="00DD3AEF" w:rsidRPr="00034BA3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034BA3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t>Реш</w:t>
            </w:r>
            <w:r w:rsidR="00DD21DF" w:rsidRPr="009C75F4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C75F4">
              <w:rPr>
                <w:highlight w:val="yellow"/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C75F4">
              <w:rPr>
                <w:highlight w:val="yellow"/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65A904B8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9C75F4">
        <w:rPr>
          <w:highlight w:val="yellow"/>
          <w:lang w:eastAsia="ja-JP"/>
        </w:rPr>
        <w:t>7</w:t>
      </w:r>
      <w:r w:rsidR="00666CE7">
        <w:rPr>
          <w:highlight w:val="yellow"/>
          <w:lang w:eastAsia="ja-JP"/>
        </w:rPr>
        <w:t>7</w:t>
      </w:r>
      <w:r w:rsidRPr="00916AA3">
        <w:rPr>
          <w:highlight w:val="yellow"/>
          <w:lang w:eastAsia="ja-JP"/>
        </w:rPr>
        <w:t>% требований</w:t>
      </w:r>
    </w:p>
    <w:p w14:paraId="2B15747B" w14:textId="324CBEEE" w:rsidR="00915EA8" w:rsidRPr="00916AA3" w:rsidRDefault="00AB121B" w:rsidP="00B74C6E">
      <w:pPr>
        <w:rPr>
          <w:lang w:eastAsia="ja-JP"/>
        </w:rPr>
      </w:pPr>
      <w:r w:rsidRPr="00AB121B">
        <w:rPr>
          <w:highlight w:val="yellow"/>
          <w:lang w:eastAsia="ja-JP"/>
        </w:rPr>
        <w:t>*на данный сделано ~</w:t>
      </w:r>
      <w:r w:rsidR="00DC7173">
        <w:rPr>
          <w:highlight w:val="yellow"/>
          <w:lang w:eastAsia="ja-JP"/>
        </w:rPr>
        <w:t>71</w:t>
      </w:r>
      <w:r w:rsidRPr="00AB121B">
        <w:rPr>
          <w:highlight w:val="yellow"/>
          <w:lang w:eastAsia="ja-JP"/>
        </w:rPr>
        <w:t>% документации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503B6B5D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</w:t>
      </w:r>
      <w:proofErr w:type="gramStart"/>
      <w:r w:rsidR="00AB121B" w:rsidRPr="00385824">
        <w:rPr>
          <w:szCs w:val="24"/>
        </w:rPr>
        <w:t>измерения</w:t>
      </w:r>
      <w:proofErr w:type="gramEnd"/>
      <w:r w:rsidR="00AB121B" w:rsidRPr="00385824">
        <w:rPr>
          <w:szCs w:val="24"/>
        </w:rPr>
        <w:t xml:space="preserve"> следующие: (5-1)/5*100 = 80%</w:t>
      </w:r>
    </w:p>
    <w:p w14:paraId="57947CA5" w14:textId="79B3BF4B" w:rsidR="00385824" w:rsidRPr="009B55CD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-</w:t>
      </w:r>
      <w:r w:rsidRPr="00385824">
        <w:rPr>
          <w:szCs w:val="24"/>
          <w:highlight w:val="yellow"/>
        </w:rPr>
        <w:t>2</w:t>
      </w:r>
      <w:r w:rsidRPr="00AB121B">
        <w:rPr>
          <w:szCs w:val="24"/>
          <w:highlight w:val="yellow"/>
        </w:rPr>
        <w:t>)/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*100</w:t>
      </w:r>
      <w:r w:rsidRPr="00AB121B">
        <w:rPr>
          <w:szCs w:val="24"/>
          <w:highlight w:val="yellow"/>
        </w:rPr>
        <w:t xml:space="preserve"> = </w:t>
      </w:r>
      <w:r>
        <w:rPr>
          <w:szCs w:val="24"/>
          <w:highlight w:val="yellow"/>
        </w:rPr>
        <w:t>71</w:t>
      </w:r>
      <w:r w:rsidRPr="00AB121B">
        <w:rPr>
          <w:szCs w:val="24"/>
          <w:highlight w:val="yellow"/>
        </w:rPr>
        <w:t>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26594FDA" w:rsidR="007E06C8" w:rsidRDefault="00385824" w:rsidP="007E06C8">
      <w:pPr>
        <w:spacing w:after="200"/>
        <w:ind w:firstLine="708"/>
        <w:rPr>
          <w:szCs w:val="24"/>
        </w:rPr>
      </w:pPr>
      <w:r w:rsidRPr="00385824"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</w:t>
      </w:r>
      <w:proofErr w:type="gramStart"/>
      <w:r w:rsidR="00AB121B" w:rsidRPr="00385824">
        <w:rPr>
          <w:szCs w:val="24"/>
        </w:rPr>
        <w:t>измерения</w:t>
      </w:r>
      <w:proofErr w:type="gramEnd"/>
      <w:r w:rsidR="00AB121B" w:rsidRPr="00385824">
        <w:rPr>
          <w:szCs w:val="24"/>
        </w:rPr>
        <w:t xml:space="preserve"> следующие: </w:t>
      </w:r>
      <w:r w:rsidR="007E06C8" w:rsidRPr="00385824">
        <w:rPr>
          <w:szCs w:val="24"/>
        </w:rPr>
        <w:t>0/9 = 0</w:t>
      </w:r>
    </w:p>
    <w:p w14:paraId="20BACA32" w14:textId="407D6CE6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</w:t>
      </w:r>
      <w:r w:rsidRPr="007E06C8">
        <w:rPr>
          <w:szCs w:val="24"/>
          <w:highlight w:val="yellow"/>
        </w:rPr>
        <w:t>следующие: 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0764F0CB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</w:t>
      </w:r>
      <w:proofErr w:type="gramStart"/>
      <w:r w:rsidR="00AB121B" w:rsidRPr="00385824">
        <w:rPr>
          <w:szCs w:val="24"/>
        </w:rPr>
        <w:t>измерения</w:t>
      </w:r>
      <w:proofErr w:type="gramEnd"/>
      <w:r w:rsidR="00AB121B" w:rsidRPr="00385824">
        <w:rPr>
          <w:szCs w:val="24"/>
        </w:rPr>
        <w:t xml:space="preserve"> следующие: (2+3)/200 = 0,025</w:t>
      </w:r>
    </w:p>
    <w:p w14:paraId="6E445ACB" w14:textId="7761FCEF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</w:t>
      </w:r>
      <w:r>
        <w:rPr>
          <w:szCs w:val="24"/>
          <w:highlight w:val="yellow"/>
        </w:rPr>
        <w:t>5+2</w:t>
      </w:r>
      <w:r w:rsidRPr="00AB121B">
        <w:rPr>
          <w:szCs w:val="24"/>
          <w:highlight w:val="yellow"/>
        </w:rPr>
        <w:t>)/2</w:t>
      </w:r>
      <w:r>
        <w:rPr>
          <w:szCs w:val="24"/>
          <w:highlight w:val="yellow"/>
        </w:rPr>
        <w:t>12</w:t>
      </w:r>
      <w:r w:rsidRPr="00AB121B">
        <w:rPr>
          <w:szCs w:val="24"/>
          <w:highlight w:val="yellow"/>
        </w:rPr>
        <w:t xml:space="preserve"> = 0,</w:t>
      </w:r>
      <w:r w:rsidRPr="00385824">
        <w:rPr>
          <w:szCs w:val="24"/>
          <w:highlight w:val="yellow"/>
        </w:rPr>
        <w:t>0</w:t>
      </w:r>
      <w:r w:rsidRPr="00385824">
        <w:rPr>
          <w:szCs w:val="24"/>
          <w:highlight w:val="yellow"/>
        </w:rPr>
        <w:t>33</w:t>
      </w:r>
    </w:p>
    <w:p w14:paraId="35F8E346" w14:textId="77777777" w:rsidR="00385824" w:rsidRPr="009B55CD" w:rsidRDefault="00385824" w:rsidP="00AB121B">
      <w:pPr>
        <w:spacing w:after="200"/>
        <w:ind w:firstLine="708"/>
        <w:rPr>
          <w:szCs w:val="24"/>
        </w:rPr>
      </w:pP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69E972CE" w14:textId="42C00258" w:rsidR="002D25E8" w:rsidRPr="002D25E8" w:rsidRDefault="002D25E8" w:rsidP="002D25E8">
      <w:r>
        <w:lastRenderedPageBreak/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r w:rsidR="003A29E2">
        <w:t>обрабатывать верно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lastRenderedPageBreak/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794ECD">
      <w:pPr>
        <w:pStyle w:val="2"/>
      </w:pPr>
      <w:r>
        <w:lastRenderedPageBreak/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Default="00B81631" w:rsidP="00B81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A6356F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A5B7" w14:textId="77777777" w:rsidR="00A6356F" w:rsidRDefault="00A6356F" w:rsidP="00915EA8">
      <w:pPr>
        <w:spacing w:line="240" w:lineRule="auto"/>
      </w:pPr>
      <w:r>
        <w:separator/>
      </w:r>
    </w:p>
  </w:endnote>
  <w:endnote w:type="continuationSeparator" w:id="0">
    <w:p w14:paraId="5250DA3A" w14:textId="77777777" w:rsidR="00A6356F" w:rsidRDefault="00A6356F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3983" w14:textId="77777777" w:rsidR="00A6356F" w:rsidRDefault="00A6356F" w:rsidP="00915EA8">
      <w:pPr>
        <w:spacing w:line="240" w:lineRule="auto"/>
      </w:pPr>
      <w:r>
        <w:separator/>
      </w:r>
    </w:p>
  </w:footnote>
  <w:footnote w:type="continuationSeparator" w:id="0">
    <w:p w14:paraId="3B370A32" w14:textId="77777777" w:rsidR="00A6356F" w:rsidRDefault="00A6356F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03FBF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85824"/>
    <w:rsid w:val="0039511E"/>
    <w:rsid w:val="003A29E2"/>
    <w:rsid w:val="003A2E1C"/>
    <w:rsid w:val="003A4BEF"/>
    <w:rsid w:val="003C4F33"/>
    <w:rsid w:val="003F6E2D"/>
    <w:rsid w:val="003F7486"/>
    <w:rsid w:val="00406295"/>
    <w:rsid w:val="00467E4E"/>
    <w:rsid w:val="004912ED"/>
    <w:rsid w:val="004A3E33"/>
    <w:rsid w:val="004C61DC"/>
    <w:rsid w:val="004F2958"/>
    <w:rsid w:val="004F35A3"/>
    <w:rsid w:val="004F4FC5"/>
    <w:rsid w:val="00536C0B"/>
    <w:rsid w:val="00553CAC"/>
    <w:rsid w:val="0056168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15EA8"/>
    <w:rsid w:val="00916AA3"/>
    <w:rsid w:val="009214AE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7DC1"/>
    <w:rsid w:val="00B027E6"/>
    <w:rsid w:val="00B13D84"/>
    <w:rsid w:val="00B54945"/>
    <w:rsid w:val="00B74C6E"/>
    <w:rsid w:val="00B81631"/>
    <w:rsid w:val="00BC78EC"/>
    <w:rsid w:val="00BE5AC8"/>
    <w:rsid w:val="00C1204A"/>
    <w:rsid w:val="00C30F8C"/>
    <w:rsid w:val="00C34197"/>
    <w:rsid w:val="00C4707D"/>
    <w:rsid w:val="00C53961"/>
    <w:rsid w:val="00C66189"/>
    <w:rsid w:val="00CC04D3"/>
    <w:rsid w:val="00CC5F91"/>
    <w:rsid w:val="00CE60C8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1B07"/>
    <w:rsid w:val="00F17E3D"/>
    <w:rsid w:val="00F20A9F"/>
    <w:rsid w:val="00F36A16"/>
    <w:rsid w:val="00F370DD"/>
    <w:rsid w:val="00F40631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4BA3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28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55</cp:revision>
  <dcterms:created xsi:type="dcterms:W3CDTF">2023-01-15T17:21:00Z</dcterms:created>
  <dcterms:modified xsi:type="dcterms:W3CDTF">2024-03-07T04:16:00Z</dcterms:modified>
</cp:coreProperties>
</file>