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85041"/>
          <w:sz w:val="44"/>
          <w:szCs w:val="44"/>
        </w:rPr>
        <w:t xml:space="preserve">ISMS Scope Document</w:t>
      </w:r>
    </w:p>
    <w:p>
      <w:pPr>
        <w:spacing w:after="400"/>
      </w:pPr>
      <w:r>
        <w:rPr>
          <w:color w:val="5F5E5A"/>
          <w:sz w:val="24"/>
          <w:szCs w:val="24"/>
        </w:rPr>
        <w:t xml:space="preserve">ISO/IEC 27001:2022 — Clause 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Field</w:t>
            </w:r>
          </w:p>
        </w:tc>
        <w:tc>
          <w:tcPr>
            <w:tcW w:type="pct" w:w="70%"/>
            <w:shd w:fill="0F6E56" w:val="clear"/>
            <w:tcMar>
              <w:top w:type="dxa" w:w="100"/>
              <w:left w:type="dxa" w:w="120"/>
              <w:bottom w:type="dxa" w:w="100"/>
              <w:right w:type="dxa" w:w="120"/>
            </w:tcMar>
          </w:tcPr>
          <w:p>
            <w:r>
              <w:rPr>
                <w:b/>
                <w:bCs/>
                <w:color w:val="FFFFFF"/>
                <w:sz w:val="20"/>
                <w:szCs w:val="20"/>
              </w:rPr>
              <w:t xml:space="preserve">Value</w:t>
            </w:r>
          </w:p>
        </w:tc>
      </w:tr>
      <w:tr>
        <w:tc>
          <w:tcPr>
            <w:tcW w:type="pct" w:w="30%"/>
            <w:tcMar>
              <w:top w:type="dxa" w:w="100"/>
              <w:left w:type="dxa" w:w="120"/>
              <w:bottom w:type="dxa" w:w="100"/>
              <w:right w:type="dxa" w:w="120"/>
            </w:tcMar>
          </w:tcPr>
          <w:p>
            <w:r>
              <w:rPr>
                <w:sz w:val="20"/>
                <w:szCs w:val="20"/>
              </w:rPr>
              <w:t xml:space="preserve">Document owner</w:t>
            </w:r>
          </w:p>
        </w:tc>
        <w:tc>
          <w:tcPr>
            <w:tcW w:type="pct" w:w="70%"/>
            <w:tcMar>
              <w:top w:type="dxa" w:w="100"/>
              <w:left w:type="dxa" w:w="120"/>
              <w:bottom w:type="dxa" w:w="100"/>
              <w:right w:type="dxa" w:w="120"/>
            </w:tcMar>
          </w:tcPr>
          <w:p>
            <w:r>
              <w:rPr>
                <w:sz w:val="20"/>
                <w:szCs w:val="20"/>
              </w:rPr>
              <w:t xml:space="preserve">GRC Analyst (ISMS Implementation Project)</w:t>
            </w:r>
          </w:p>
        </w:tc>
      </w:tr>
      <w:tr>
        <w:tc>
          <w:tcPr>
            <w:tcW w:type="pct" w:w="30%"/>
            <w:shd w:fill="F7F7F5" w:val="clear"/>
            <w:tcMar>
              <w:top w:type="dxa" w:w="100"/>
              <w:left w:type="dxa" w:w="120"/>
              <w:bottom w:type="dxa" w:w="100"/>
              <w:right w:type="dxa" w:w="120"/>
            </w:tcMar>
          </w:tcPr>
          <w:p>
            <w:r>
              <w:rPr>
                <w:sz w:val="20"/>
                <w:szCs w:val="20"/>
              </w:rPr>
              <w:t xml:space="preserve">Organization</w:t>
            </w:r>
          </w:p>
        </w:tc>
        <w:tc>
          <w:tcPr>
            <w:tcW w:type="pct" w:w="70%"/>
            <w:shd w:fill="F7F7F5" w:val="clear"/>
            <w:tcMar>
              <w:top w:type="dxa" w:w="100"/>
              <w:left w:type="dxa" w:w="120"/>
              <w:bottom w:type="dxa" w:w="100"/>
              <w:right w:type="dxa" w:w="120"/>
            </w:tcMar>
          </w:tcPr>
          <w:p>
            <w:r>
              <w:rPr>
                <w:sz w:val="20"/>
                <w:szCs w:val="20"/>
              </w:rPr>
              <w:t xml:space="preserve">NRW Logistics GmbH (fictional entity — portfolio project)</w:t>
            </w:r>
          </w:p>
        </w:tc>
      </w:tr>
      <w:tr>
        <w:tc>
          <w:tcPr>
            <w:tcW w:type="pct" w:w="30%"/>
            <w:tcMar>
              <w:top w:type="dxa" w:w="100"/>
              <w:left w:type="dxa" w:w="120"/>
              <w:bottom w:type="dxa" w:w="100"/>
              <w:right w:type="dxa" w:w="120"/>
            </w:tcMar>
          </w:tcPr>
          <w:p>
            <w:r>
              <w:rPr>
                <w:sz w:val="20"/>
                <w:szCs w:val="20"/>
              </w:rPr>
              <w:t xml:space="preserve">Version</w:t>
            </w:r>
          </w:p>
        </w:tc>
        <w:tc>
          <w:tcPr>
            <w:tcW w:type="pct" w:w="70%"/>
            <w:tcMar>
              <w:top w:type="dxa" w:w="100"/>
              <w:left w:type="dxa" w:w="120"/>
              <w:bottom w:type="dxa" w:w="100"/>
              <w:right w:type="dxa" w:w="120"/>
            </w:tcMar>
          </w:tcPr>
          <w:p>
            <w:r>
              <w:rPr>
                <w:sz w:val="20"/>
                <w:szCs w:val="20"/>
              </w:rPr>
              <w:t xml:space="preserve">1.0</w:t>
            </w:r>
          </w:p>
        </w:tc>
      </w:tr>
      <w:tr>
        <w:tc>
          <w:tcPr>
            <w:tcW w:type="pct" w:w="30%"/>
            <w:shd w:fill="F7F7F5" w:val="clear"/>
            <w:tcMar>
              <w:top w:type="dxa" w:w="100"/>
              <w:left w:type="dxa" w:w="120"/>
              <w:bottom w:type="dxa" w:w="100"/>
              <w:right w:type="dxa" w:w="120"/>
            </w:tcMar>
          </w:tcPr>
          <w:p>
            <w:r>
              <w:rPr>
                <w:sz w:val="20"/>
                <w:szCs w:val="20"/>
              </w:rPr>
              <w:t xml:space="preserve">Status</w:t>
            </w:r>
          </w:p>
        </w:tc>
        <w:tc>
          <w:tcPr>
            <w:tcW w:type="pct" w:w="70%"/>
            <w:shd w:fill="F7F7F5" w:val="clear"/>
            <w:tcMar>
              <w:top w:type="dxa" w:w="100"/>
              <w:left w:type="dxa" w:w="120"/>
              <w:bottom w:type="dxa" w:w="100"/>
              <w:right w:type="dxa" w:w="120"/>
            </w:tcMar>
          </w:tcPr>
          <w:p>
            <w:r>
              <w:rPr>
                <w:sz w:val="20"/>
                <w:szCs w:val="20"/>
              </w:rPr>
              <w:t xml:space="preserve">Draft for management approval</w:t>
            </w:r>
          </w:p>
        </w:tc>
      </w:tr>
      <w:tr>
        <w:tc>
          <w:tcPr>
            <w:tcW w:type="pct" w:w="30%"/>
            <w:tcMar>
              <w:top w:type="dxa" w:w="100"/>
              <w:left w:type="dxa" w:w="120"/>
              <w:bottom w:type="dxa" w:w="100"/>
              <w:right w:type="dxa" w:w="120"/>
            </w:tcMar>
          </w:tcPr>
          <w:p>
            <w:r>
              <w:rPr>
                <w:sz w:val="20"/>
                <w:szCs w:val="20"/>
              </w:rPr>
              <w:t xml:space="preserve">Classification</w:t>
            </w:r>
          </w:p>
        </w:tc>
        <w:tc>
          <w:tcPr>
            <w:tcW w:type="pct" w:w="70%"/>
            <w:tcMar>
              <w:top w:type="dxa" w:w="100"/>
              <w:left w:type="dxa" w:w="120"/>
              <w:bottom w:type="dxa" w:w="100"/>
              <w:right w:type="dxa" w:w="120"/>
            </w:tcMar>
          </w:tcPr>
          <w:p>
            <w:r>
              <w:rPr>
                <w:sz w:val="20"/>
                <w:szCs w:val="20"/>
              </w:rPr>
              <w:t xml:space="preserve">Internal</w:t>
            </w:r>
          </w:p>
        </w:tc>
      </w:tr>
      <w:tr>
        <w:tc>
          <w:tcPr>
            <w:tcW w:type="pct" w:w="30%"/>
            <w:shd w:fill="F7F7F5" w:val="clear"/>
            <w:tcMar>
              <w:top w:type="dxa" w:w="100"/>
              <w:left w:type="dxa" w:w="120"/>
              <w:bottom w:type="dxa" w:w="100"/>
              <w:right w:type="dxa" w:w="120"/>
            </w:tcMar>
          </w:tcPr>
          <w:p>
            <w:r>
              <w:rPr>
                <w:sz w:val="20"/>
                <w:szCs w:val="20"/>
              </w:rPr>
              <w:t xml:space="preserve">Related clauses</w:t>
            </w:r>
          </w:p>
        </w:tc>
        <w:tc>
          <w:tcPr>
            <w:tcW w:type="pct" w:w="70%"/>
            <w:shd w:fill="F7F7F5" w:val="clear"/>
            <w:tcMar>
              <w:top w:type="dxa" w:w="100"/>
              <w:left w:type="dxa" w:w="120"/>
              <w:bottom w:type="dxa" w:w="100"/>
              <w:right w:type="dxa" w:w="120"/>
            </w:tcMar>
          </w:tcPr>
          <w:p>
            <w:r>
              <w:rPr>
                <w:sz w:val="20"/>
                <w:szCs w:val="20"/>
              </w:rPr>
              <w:t xml:space="preserve">ISO/IEC 27001:2022 §4.1, §4.2, §4.3, §4.4</w:t>
            </w:r>
          </w:p>
        </w:tc>
      </w:tr>
    </w:tbl>
    <w:p>
      <w:pPr>
        <w:spacing w:after="300"/>
      </w:pPr>
    </w:p>
    <w:p>
      <w:pPr>
        <w:pStyle w:val="Heading1"/>
        <w:spacing w:after="160" w:before="320"/>
      </w:pPr>
      <w:r>
        <w:t xml:space="preserve">1. Purpose</w:t>
      </w:r>
    </w:p>
    <w:p>
      <w:pPr>
        <w:spacing w:after="160"/>
      </w:pPr>
      <w:r>
        <w:t xml:space="preserve">This document defines the scope of the Information Security Management System (ISMS) for NRW Logistics GmbH, in accordance with ISO/IEC 27001:2022 Clause 4.3. It establishes the boundaries and applicability of the ISMS by identifying the organizational units, locations, assets, and technologies included, and by documenting exclusions with justification.</w:t>
      </w:r>
    </w:p>
    <w:tbl>
      <w:tblPr>
        <w:tblW w:type="pct" w:w="100%"/>
        <w:tblBorders>
          <w:top w:val="single" w:color="0F6E56" w:sz="4"/>
          <w:left w:val="single" w:color="0F6E56" w:sz="12"/>
          <w:bottom w:val="single" w:color="0F6E56" w:sz="4"/>
          <w:right w:val="single" w:color="0F6E56" w:sz="4"/>
          <w:insideH w:val="none" w:color="FFFFFF" w:sz="0"/>
          <w:insideV w:val="none" w:color="FFFFFF" w:sz="0"/>
        </w:tblBorders>
      </w:tblPr>
      <w:tblGrid>
        <w:gridCol w:w="100"/>
      </w:tblGrid>
      <w:tr>
        <w:tc>
          <w:tcPr>
            <w:shd w:fill="EEF3F0" w:val="clear"/>
            <w:tcMar>
              <w:top w:type="dxa" w:w="160"/>
              <w:left w:type="dxa" w:w="200"/>
              <w:bottom w:type="dxa" w:w="160"/>
              <w:right w:type="dxa" w:w="200"/>
            </w:tcMar>
          </w:tcPr>
          <w:p>
            <w:pPr>
              <w:spacing w:after="80"/>
            </w:pPr>
            <w:r>
              <w:rPr>
                <w:b/>
                <w:bCs/>
                <w:color w:val="085041"/>
                <w:sz w:val="20"/>
                <w:szCs w:val="20"/>
              </w:rPr>
              <w:t xml:space="preserve">Why this matters: Scope is the foundation, not paperwork</w:t>
            </w:r>
          </w:p>
          <w:p>
            <w:r>
              <w:rPr>
                <w:i w:val="false"/>
                <w:iCs w:val="false"/>
                <w:sz w:val="20"/>
                <w:szCs w:val="20"/>
              </w:rPr>
              <w:t xml:space="preserve">Every later ISMS artifact inherits its boundaries from this document. If a risk register includes an asset the scope document didn't cover, or the Statement of Applicability justifies a control by referencing an out-of-scope system, an auditor will flag the inconsistency immediately. Getting scope right first prevents rework across every downstream deliverable.</w:t>
            </w:r>
          </w:p>
        </w:tc>
      </w:tr>
    </w:tbl>
    <w:p>
      <w:pPr>
        <w:spacing w:after="200"/>
      </w:pPr>
    </w:p>
    <w:p>
      <w:pPr>
        <w:pStyle w:val="Heading1"/>
        <w:spacing w:after="160" w:before="320"/>
      </w:pPr>
      <w:r>
        <w:t xml:space="preserve">2. Organizational Context (Clause 4.1)</w:t>
      </w:r>
    </w:p>
    <w:p>
      <w:pPr>
        <w:spacing w:after="160"/>
      </w:pPr>
      <w:r>
        <w:t xml:space="preserve">NRW Logistics GmbH is a road freight and warehousing company headquartered in Dortmund, Germany, with a distribution center in Witten. The company provides regional freight transport, warehousing, and fleet management services to industrial and retail clients across North Rhine-Westphalia.</w:t>
      </w:r>
    </w:p>
    <w:p>
      <w:pPr>
        <w:spacing w:after="160"/>
      </w:pPr>
      <w:r>
        <w:t xml:space="preserve">Internal issues relevant to the ISMS include: reliance on a small internal IT team, use of an outsourced cloud ERP platform, and a fleet telematics system operated by internal staff. External issues include increasing customer contractual requirements for information security assurance, GDPR obligations as a processor of customer shipment and location data, and sector-wide pressure from insurers requiring demonstrable cyber risk management.</w:t>
      </w:r>
    </w:p>
    <w:p>
      <w:pPr>
        <w:pStyle w:val="Heading1"/>
        <w:spacing w:after="160" w:before="320"/>
      </w:pPr>
      <w:r>
        <w:t xml:space="preserve">3. Interested Parties (Clause 4.2)</w:t>
      </w:r>
    </w:p>
    <w:p>
      <w:pPr>
        <w:spacing w:after="160"/>
      </w:pPr>
      <w:r>
        <w:t xml:space="preserve">The following interested parties, and their security-related requirements, were considered in determining ISMS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Interested party</w:t>
            </w:r>
          </w:p>
        </w:tc>
        <w:tc>
          <w:tcPr>
            <w:tcW w:type="pct" w:w="70%"/>
            <w:shd w:fill="0F6E56" w:val="clear"/>
            <w:tcMar>
              <w:top w:type="dxa" w:w="100"/>
              <w:left w:type="dxa" w:w="120"/>
              <w:bottom w:type="dxa" w:w="100"/>
              <w:right w:type="dxa" w:w="120"/>
            </w:tcMar>
          </w:tcPr>
          <w:p>
            <w:r>
              <w:rPr>
                <w:b/>
                <w:bCs/>
                <w:color w:val="FFFFFF"/>
                <w:sz w:val="20"/>
                <w:szCs w:val="20"/>
              </w:rPr>
              <w:t xml:space="preserve">Requirement / expectation</w:t>
            </w:r>
          </w:p>
        </w:tc>
      </w:tr>
      <w:tr>
        <w:tc>
          <w:tcPr>
            <w:tcW w:type="pct" w:w="30%"/>
            <w:tcMar>
              <w:top w:type="dxa" w:w="100"/>
              <w:left w:type="dxa" w:w="120"/>
              <w:bottom w:type="dxa" w:w="100"/>
              <w:right w:type="dxa" w:w="120"/>
            </w:tcMar>
          </w:tcPr>
          <w:p>
            <w:r>
              <w:rPr>
                <w:sz w:val="20"/>
                <w:szCs w:val="20"/>
              </w:rPr>
              <w:t xml:space="preserve">Customers</w:t>
            </w:r>
          </w:p>
        </w:tc>
        <w:tc>
          <w:tcPr>
            <w:tcW w:type="pct" w:w="70%"/>
            <w:tcMar>
              <w:top w:type="dxa" w:w="100"/>
              <w:left w:type="dxa" w:w="120"/>
              <w:bottom w:type="dxa" w:w="100"/>
              <w:right w:type="dxa" w:w="120"/>
            </w:tcMar>
          </w:tcPr>
          <w:p>
            <w:r>
              <w:rPr>
                <w:sz w:val="20"/>
                <w:szCs w:val="20"/>
              </w:rPr>
              <w:t xml:space="preserve">Confidentiality of shipment data; contractual security clauses; incident notification</w:t>
            </w:r>
          </w:p>
        </w:tc>
      </w:tr>
      <w:tr>
        <w:tc>
          <w:tcPr>
            <w:tcW w:type="pct" w:w="30%"/>
            <w:shd w:fill="F7F7F5" w:val="clear"/>
            <w:tcMar>
              <w:top w:type="dxa" w:w="100"/>
              <w:left w:type="dxa" w:w="120"/>
              <w:bottom w:type="dxa" w:w="100"/>
              <w:right w:type="dxa" w:w="120"/>
            </w:tcMar>
          </w:tcPr>
          <w:p>
            <w:r>
              <w:rPr>
                <w:sz w:val="20"/>
                <w:szCs w:val="20"/>
              </w:rPr>
              <w:t xml:space="preserve">Employees</w:t>
            </w:r>
          </w:p>
        </w:tc>
        <w:tc>
          <w:tcPr>
            <w:tcW w:type="pct" w:w="70%"/>
            <w:shd w:fill="F7F7F5" w:val="clear"/>
            <w:tcMar>
              <w:top w:type="dxa" w:w="100"/>
              <w:left w:type="dxa" w:w="120"/>
              <w:bottom w:type="dxa" w:w="100"/>
              <w:right w:type="dxa" w:w="120"/>
            </w:tcMar>
          </w:tcPr>
          <w:p>
            <w:r>
              <w:rPr>
                <w:sz w:val="20"/>
                <w:szCs w:val="20"/>
              </w:rPr>
              <w:t xml:space="preserve">Protection of personal data; clear acceptable use expectations</w:t>
            </w:r>
          </w:p>
        </w:tc>
      </w:tr>
      <w:tr>
        <w:tc>
          <w:tcPr>
            <w:tcW w:type="pct" w:w="30%"/>
            <w:tcMar>
              <w:top w:type="dxa" w:w="100"/>
              <w:left w:type="dxa" w:w="120"/>
              <w:bottom w:type="dxa" w:w="100"/>
              <w:right w:type="dxa" w:w="120"/>
            </w:tcMar>
          </w:tcPr>
          <w:p>
            <w:r>
              <w:rPr>
                <w:sz w:val="20"/>
                <w:szCs w:val="20"/>
              </w:rPr>
              <w:t xml:space="preserve">Regulators (GDPR / BSI)</w:t>
            </w:r>
          </w:p>
        </w:tc>
        <w:tc>
          <w:tcPr>
            <w:tcW w:type="pct" w:w="70%"/>
            <w:tcMar>
              <w:top w:type="dxa" w:w="100"/>
              <w:left w:type="dxa" w:w="120"/>
              <w:bottom w:type="dxa" w:w="100"/>
              <w:right w:type="dxa" w:w="120"/>
            </w:tcMar>
          </w:tcPr>
          <w:p>
            <w:r>
              <w:rPr>
                <w:sz w:val="20"/>
                <w:szCs w:val="20"/>
              </w:rPr>
              <w:t xml:space="preserve">Lawful processing of personal data; breach notification within statutory timeframes</w:t>
            </w:r>
          </w:p>
        </w:tc>
      </w:tr>
      <w:tr>
        <w:tc>
          <w:tcPr>
            <w:tcW w:type="pct" w:w="30%"/>
            <w:shd w:fill="F7F7F5" w:val="clear"/>
            <w:tcMar>
              <w:top w:type="dxa" w:w="100"/>
              <w:left w:type="dxa" w:w="120"/>
              <w:bottom w:type="dxa" w:w="100"/>
              <w:right w:type="dxa" w:w="120"/>
            </w:tcMar>
          </w:tcPr>
          <w:p>
            <w:r>
              <w:rPr>
                <w:sz w:val="20"/>
                <w:szCs w:val="20"/>
              </w:rPr>
              <w:t xml:space="preserve">Cyber insurer</w:t>
            </w:r>
          </w:p>
        </w:tc>
        <w:tc>
          <w:tcPr>
            <w:tcW w:type="pct" w:w="70%"/>
            <w:shd w:fill="F7F7F5" w:val="clear"/>
            <w:tcMar>
              <w:top w:type="dxa" w:w="100"/>
              <w:left w:type="dxa" w:w="120"/>
              <w:bottom w:type="dxa" w:w="100"/>
              <w:right w:type="dxa" w:w="120"/>
            </w:tcMar>
          </w:tcPr>
          <w:p>
            <w:r>
              <w:rPr>
                <w:sz w:val="20"/>
                <w:szCs w:val="20"/>
              </w:rPr>
              <w:t xml:space="preserve">Evidence of baseline security controls to maintain coverage terms</w:t>
            </w:r>
          </w:p>
        </w:tc>
      </w:tr>
      <w:tr>
        <w:tc>
          <w:tcPr>
            <w:tcW w:type="pct" w:w="30%"/>
            <w:tcMar>
              <w:top w:type="dxa" w:w="100"/>
              <w:left w:type="dxa" w:w="120"/>
              <w:bottom w:type="dxa" w:w="100"/>
              <w:right w:type="dxa" w:w="120"/>
            </w:tcMar>
          </w:tcPr>
          <w:p>
            <w:r>
              <w:rPr>
                <w:sz w:val="20"/>
                <w:szCs w:val="20"/>
              </w:rPr>
              <w:t xml:space="preserve">Cloud ERP provider (Microsoft Azure)</w:t>
            </w:r>
          </w:p>
        </w:tc>
        <w:tc>
          <w:tcPr>
            <w:tcW w:type="pct" w:w="70%"/>
            <w:tcMar>
              <w:top w:type="dxa" w:w="100"/>
              <w:left w:type="dxa" w:w="120"/>
              <w:bottom w:type="dxa" w:w="100"/>
              <w:right w:type="dxa" w:w="120"/>
            </w:tcMar>
          </w:tcPr>
          <w:p>
            <w:r>
              <w:rPr>
                <w:sz w:val="20"/>
                <w:szCs w:val="20"/>
              </w:rPr>
              <w:t xml:space="preserve">Shared responsibility model — customer-managed configuration and access control</w:t>
            </w:r>
          </w:p>
        </w:tc>
      </w:tr>
    </w:tbl>
    <w:p>
      <w:pPr>
        <w:spacing w:after="200"/>
      </w:pPr>
    </w:p>
    <w:tbl>
      <w:tblPr>
        <w:tblW w:type="pct" w:w="100%"/>
        <w:tblBorders>
          <w:top w:val="single" w:color="0F6E56" w:sz="4"/>
          <w:left w:val="single" w:color="0F6E56" w:sz="12"/>
          <w:bottom w:val="single" w:color="0F6E56" w:sz="4"/>
          <w:right w:val="single" w:color="0F6E56" w:sz="4"/>
          <w:insideH w:val="none" w:color="FFFFFF" w:sz="0"/>
          <w:insideV w:val="none" w:color="FFFFFF" w:sz="0"/>
        </w:tblBorders>
      </w:tblPr>
      <w:tblGrid>
        <w:gridCol w:w="100"/>
      </w:tblGrid>
      <w:tr>
        <w:tc>
          <w:tcPr>
            <w:shd w:fill="EEF3F0" w:val="clear"/>
            <w:tcMar>
              <w:top w:type="dxa" w:w="160"/>
              <w:left w:type="dxa" w:w="200"/>
              <w:bottom w:type="dxa" w:w="160"/>
              <w:right w:type="dxa" w:w="200"/>
            </w:tcMar>
          </w:tcPr>
          <w:p>
            <w:pPr>
              <w:spacing w:after="80"/>
            </w:pPr>
            <w:r>
              <w:rPr>
                <w:b/>
                <w:bCs/>
                <w:color w:val="085041"/>
                <w:sz w:val="20"/>
                <w:szCs w:val="20"/>
              </w:rPr>
              <w:t xml:space="preserve">Why this matters: Interested parties drive scope, not the other way around</w:t>
            </w:r>
          </w:p>
          <w:p>
            <w:r>
              <w:rPr>
                <w:i w:val="false"/>
                <w:iCs w:val="false"/>
                <w:sz w:val="20"/>
                <w:szCs w:val="20"/>
              </w:rPr>
              <w:t xml:space="preserve">A common mistake is scoping the ISMS around convenient IT boundaries (e.g. 'just the servers we manage') rather than around what interested parties actually need protected. Auditors check that Clause 4.2 requirements are traceable into the scope statement — if a customer requires shipment data confidentiality, the systems that hold shipment data must be in scope, regardless of who technically administers them.</w:t>
            </w:r>
          </w:p>
        </w:tc>
      </w:tr>
    </w:tbl>
    <w:p>
      <w:pPr>
        <w:spacing w:after="200"/>
      </w:pPr>
    </w:p>
    <w:p>
      <w:pPr>
        <w:pStyle w:val="Heading1"/>
        <w:spacing w:after="160" w:before="320"/>
      </w:pPr>
      <w:r>
        <w:t xml:space="preserve">4. ISMS Scope Statement</w:t>
      </w:r>
    </w:p>
    <w:p>
      <w:pPr>
        <w:spacing w:after="160"/>
      </w:pPr>
      <w:r>
        <w:t xml:space="preserve">The ISMS covers the information, information systems, and business processes involved in the receipt, storage, transport, and delivery of customer freight, and the internal IT infrastructure that supports these operations, specifically:</w:t>
      </w:r>
    </w:p>
    <w:p>
      <w:pPr>
        <w:pStyle w:val="ListParagraph"/>
        <w:numPr>
          <w:ilvl w:val="0"/>
          <w:numId w:val="1"/>
        </w:numPr>
        <w:spacing w:after="80"/>
      </w:pPr>
      <w:r>
        <w:t xml:space="preserve">HQ network — Dortmund office, including internal administrative systems and end-user devices</w:t>
      </w:r>
    </w:p>
    <w:p>
      <w:pPr>
        <w:pStyle w:val="ListParagraph"/>
        <w:numPr>
          <w:ilvl w:val="0"/>
          <w:numId w:val="1"/>
        </w:numPr>
        <w:spacing w:after="80"/>
      </w:pPr>
      <w:r>
        <w:t xml:space="preserve">Warehouse Management System (WMS) — Witten distribution center</w:t>
      </w:r>
    </w:p>
    <w:p>
      <w:pPr>
        <w:pStyle w:val="ListParagraph"/>
        <w:numPr>
          <w:ilvl w:val="0"/>
          <w:numId w:val="1"/>
        </w:numPr>
        <w:spacing w:after="80"/>
      </w:pPr>
      <w:r>
        <w:t xml:space="preserve">Fleet telematics — vehicle tracking and route management systems</w:t>
      </w:r>
    </w:p>
    <w:p>
      <w:pPr>
        <w:pStyle w:val="ListParagraph"/>
        <w:numPr>
          <w:ilvl w:val="0"/>
          <w:numId w:val="1"/>
        </w:numPr>
        <w:spacing w:after="80"/>
      </w:pPr>
      <w:r>
        <w:t xml:space="preserve">Cloud ERP — Azure-hosted platform supporting finance and operations</w:t>
      </w:r>
    </w:p>
    <w:p>
      <w:pPr>
        <w:spacing w:after="200"/>
      </w:pPr>
    </w:p>
    <w:p>
      <w:pPr>
        <w:pStyle w:val="Heading1"/>
        <w:spacing w:after="160" w:before="320"/>
      </w:pPr>
      <w:r>
        <w:t xml:space="preserve">5. Scope Boundary Diagram</w:t>
      </w:r>
    </w:p>
    <w:p>
      <w:pPr>
        <w:spacing w:after="200"/>
        <w:jc w:val="center"/>
      </w:pPr>
      <w:r>
        <w:drawing>
          <wp:inline distT="0" distB="0" distL="0" distR="0">
            <wp:extent cx="5238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667125"/>
                    </a:xfrm>
                    <a:prstGeom prst="rect">
                      <a:avLst/>
                    </a:prstGeom>
                  </pic:spPr>
                </pic:pic>
              </a:graphicData>
            </a:graphic>
          </wp:inline>
        </w:drawing>
      </w:r>
    </w:p>
    <w:p>
      <w:pPr>
        <w:pStyle w:val="Heading1"/>
        <w:spacing w:after="160" w:before="320"/>
      </w:pPr>
      <w:r>
        <w:t xml:space="preserve">6. Exclusions and Justification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Excluded item</w:t>
            </w:r>
          </w:p>
        </w:tc>
        <w:tc>
          <w:tcPr>
            <w:tcW w:type="pct" w:w="70%"/>
            <w:shd w:fill="0F6E56" w:val="clear"/>
            <w:tcMar>
              <w:top w:type="dxa" w:w="100"/>
              <w:left w:type="dxa" w:w="120"/>
              <w:bottom w:type="dxa" w:w="100"/>
              <w:right w:type="dxa" w:w="120"/>
            </w:tcMar>
          </w:tcPr>
          <w:p>
            <w:r>
              <w:rPr>
                <w:b/>
                <w:bCs/>
                <w:color w:val="FFFFFF"/>
                <w:sz w:val="20"/>
                <w:szCs w:val="20"/>
              </w:rPr>
              <w:t xml:space="preserve">Justification</w:t>
            </w:r>
          </w:p>
        </w:tc>
      </w:tr>
      <w:tr>
        <w:tc>
          <w:tcPr>
            <w:tcW w:type="pct" w:w="30%"/>
            <w:tcMar>
              <w:top w:type="dxa" w:w="100"/>
              <w:left w:type="dxa" w:w="120"/>
              <w:bottom w:type="dxa" w:w="100"/>
              <w:right w:type="dxa" w:w="120"/>
            </w:tcMar>
          </w:tcPr>
          <w:p>
            <w:r>
              <w:rPr>
                <w:sz w:val="20"/>
                <w:szCs w:val="20"/>
              </w:rPr>
              <w:t xml:space="preserve">Payroll / HR system</w:t>
            </w:r>
          </w:p>
        </w:tc>
        <w:tc>
          <w:tcPr>
            <w:tcW w:type="pct" w:w="70%"/>
            <w:tcMar>
              <w:top w:type="dxa" w:w="100"/>
              <w:left w:type="dxa" w:w="120"/>
              <w:bottom w:type="dxa" w:w="100"/>
              <w:right w:type="dxa" w:w="120"/>
            </w:tcMar>
          </w:tcPr>
          <w:p>
            <w:r>
              <w:rPr>
                <w:sz w:val="20"/>
                <w:szCs w:val="20"/>
              </w:rPr>
              <w:t xml:space="preserve">Fully outsourced to a third-party provider holding its own ISO 27001 certification; NRW Logistics has no administrative control over the system</w:t>
            </w:r>
          </w:p>
        </w:tc>
      </w:tr>
      <w:tr>
        <w:tc>
          <w:tcPr>
            <w:tcW w:type="pct" w:w="30%"/>
            <w:shd w:fill="F7F7F5" w:val="clear"/>
            <w:tcMar>
              <w:top w:type="dxa" w:w="100"/>
              <w:left w:type="dxa" w:w="120"/>
              <w:bottom w:type="dxa" w:w="100"/>
              <w:right w:type="dxa" w:w="120"/>
            </w:tcMar>
          </w:tcPr>
          <w:p>
            <w:r>
              <w:rPr>
                <w:sz w:val="20"/>
                <w:szCs w:val="20"/>
              </w:rPr>
              <w:t xml:space="preserve">Guest Wi-Fi</w:t>
            </w:r>
          </w:p>
        </w:tc>
        <w:tc>
          <w:tcPr>
            <w:tcW w:type="pct" w:w="70%"/>
            <w:shd w:fill="F7F7F5" w:val="clear"/>
            <w:tcMar>
              <w:top w:type="dxa" w:w="100"/>
              <w:left w:type="dxa" w:w="120"/>
              <w:bottom w:type="dxa" w:w="100"/>
              <w:right w:type="dxa" w:w="120"/>
            </w:tcMar>
          </w:tcPr>
          <w:p>
            <w:r>
              <w:rPr>
                <w:sz w:val="20"/>
                <w:szCs w:val="20"/>
              </w:rPr>
              <w:t xml:space="preserve">Logically segmented from all corporate and operational networks; carries no company or customer data</w:t>
            </w:r>
          </w:p>
        </w:tc>
      </w:tr>
      <w:tr>
        <w:tc>
          <w:tcPr>
            <w:tcW w:type="pct" w:w="30%"/>
            <w:tcMar>
              <w:top w:type="dxa" w:w="100"/>
              <w:left w:type="dxa" w:w="120"/>
              <w:bottom w:type="dxa" w:w="100"/>
              <w:right w:type="dxa" w:w="120"/>
            </w:tcMar>
          </w:tcPr>
          <w:p>
            <w:r>
              <w:rPr>
                <w:sz w:val="20"/>
                <w:szCs w:val="20"/>
              </w:rPr>
              <w:t xml:space="preserve">Customs broker system</w:t>
            </w:r>
          </w:p>
        </w:tc>
        <w:tc>
          <w:tcPr>
            <w:tcW w:type="pct" w:w="70%"/>
            <w:tcMar>
              <w:top w:type="dxa" w:w="100"/>
              <w:left w:type="dxa" w:w="120"/>
              <w:bottom w:type="dxa" w:w="100"/>
              <w:right w:type="dxa" w:w="120"/>
            </w:tcMar>
          </w:tcPr>
          <w:p>
            <w:r>
              <w:rPr>
                <w:sz w:val="20"/>
                <w:szCs w:val="20"/>
              </w:rPr>
              <w:t xml:space="preserve">External system operated by a third-party customs agent; NRW Logistics only exchanges data via a defined API interface, which is itself in scope as a data flow</w:t>
            </w:r>
          </w:p>
        </w:tc>
      </w:tr>
    </w:tbl>
    <w:p>
      <w:pPr>
        <w:spacing w:after="200"/>
      </w:pPr>
    </w:p>
    <w:tbl>
      <w:tblPr>
        <w:tblW w:type="pct" w:w="100%"/>
        <w:tblBorders>
          <w:top w:val="single" w:color="0F6E56" w:sz="4"/>
          <w:left w:val="single" w:color="0F6E56" w:sz="12"/>
          <w:bottom w:val="single" w:color="0F6E56" w:sz="4"/>
          <w:right w:val="single" w:color="0F6E56" w:sz="4"/>
          <w:insideH w:val="none" w:color="FFFFFF" w:sz="0"/>
          <w:insideV w:val="none" w:color="FFFFFF" w:sz="0"/>
        </w:tblBorders>
      </w:tblPr>
      <w:tblGrid>
        <w:gridCol w:w="100"/>
      </w:tblGrid>
      <w:tr>
        <w:tc>
          <w:tcPr>
            <w:shd w:fill="EEF3F0" w:val="clear"/>
            <w:tcMar>
              <w:top w:type="dxa" w:w="160"/>
              <w:left w:type="dxa" w:w="200"/>
              <w:bottom w:type="dxa" w:w="160"/>
              <w:right w:type="dxa" w:w="200"/>
            </w:tcMar>
          </w:tcPr>
          <w:p>
            <w:pPr>
              <w:spacing w:after="80"/>
            </w:pPr>
            <w:r>
              <w:rPr>
                <w:b/>
                <w:bCs/>
                <w:color w:val="085041"/>
                <w:sz w:val="20"/>
                <w:szCs w:val="20"/>
              </w:rPr>
              <w:t xml:space="preserve">Why this matters: Exclusions must be justified, not just declared</w:t>
            </w:r>
          </w:p>
          <w:p>
            <w:r>
              <w:rPr>
                <w:i w:val="false"/>
                <w:iCs w:val="false"/>
                <w:sz w:val="20"/>
                <w:szCs w:val="20"/>
              </w:rPr>
              <w:t xml:space="preserve">ISO 27001 explicitly requires (Clause 4.3) that exclusions be documented with reasoning — you can't simply omit something inconvenient. A weak justification (e.g. 'not relevant') is a common audit nonconformity. The strongest justifications point to either genuine lack of control (fully outsourced, separately certified) or a defined, monitorable boundary (network segmentation, a scoped API interface) — both of which this table demonstrates.</w:t>
            </w:r>
          </w:p>
        </w:tc>
      </w:tr>
    </w:tbl>
    <w:p>
      <w:pPr>
        <w:spacing w:after="200"/>
      </w:pPr>
    </w:p>
    <w:p>
      <w:pPr>
        <w:pStyle w:val="Heading1"/>
        <w:spacing w:after="160" w:before="320"/>
      </w:pPr>
      <w:r>
        <w:t xml:space="preserve">7.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pct" w:w="34%"/>
            <w:shd w:fill="0F6E56" w:val="clear"/>
            <w:tcMar>
              <w:top w:type="dxa" w:w="100"/>
              <w:left w:type="dxa" w:w="120"/>
              <w:bottom w:type="dxa" w:w="100"/>
              <w:right w:type="dxa" w:w="120"/>
            </w:tcMar>
          </w:tcPr>
          <w:p>
            <w:r>
              <w:rPr>
                <w:b/>
                <w:bCs/>
                <w:color w:val="FFFFFF"/>
                <w:sz w:val="20"/>
                <w:szCs w:val="20"/>
              </w:rPr>
              <w:t xml:space="preserve">Role</w:t>
            </w:r>
          </w:p>
        </w:tc>
        <w:tc>
          <w:tcPr>
            <w:tcW w:type="pct" w:w="33%"/>
            <w:shd w:fill="0F6E56" w:val="clear"/>
            <w:tcMar>
              <w:top w:type="dxa" w:w="100"/>
              <w:left w:type="dxa" w:w="120"/>
              <w:bottom w:type="dxa" w:w="100"/>
              <w:right w:type="dxa" w:w="120"/>
            </w:tcMar>
          </w:tcPr>
          <w:p>
            <w:r>
              <w:rPr>
                <w:b/>
                <w:bCs/>
                <w:color w:val="FFFFFF"/>
                <w:sz w:val="20"/>
                <w:szCs w:val="20"/>
              </w:rPr>
              <w:t xml:space="preserve">Name</w:t>
            </w:r>
          </w:p>
        </w:tc>
        <w:tc>
          <w:tcPr>
            <w:tcW w:type="pct" w:w="33%"/>
            <w:shd w:fill="0F6E56" w:val="clear"/>
            <w:tcMar>
              <w:top w:type="dxa" w:w="100"/>
              <w:left w:type="dxa" w:w="120"/>
              <w:bottom w:type="dxa" w:w="100"/>
              <w:right w:type="dxa" w:w="120"/>
            </w:tcMar>
          </w:tcPr>
          <w:p>
            <w:r>
              <w:rPr>
                <w:b/>
                <w:bCs/>
                <w:color w:val="FFFFFF"/>
                <w:sz w:val="20"/>
                <w:szCs w:val="20"/>
              </w:rPr>
              <w:t xml:space="preserve">Date</w:t>
            </w:r>
          </w:p>
        </w:tc>
      </w:tr>
      <w:tr>
        <w:tc>
          <w:tcPr>
            <w:tcW w:type="pct" w:w="34%"/>
            <w:tcMar>
              <w:top w:type="dxa" w:w="100"/>
              <w:left w:type="dxa" w:w="120"/>
              <w:bottom w:type="dxa" w:w="100"/>
              <w:right w:type="dxa" w:w="120"/>
            </w:tcMar>
          </w:tcPr>
          <w:p>
            <w:r>
              <w:rPr>
                <w:sz w:val="20"/>
                <w:szCs w:val="20"/>
              </w:rPr>
              <w:t xml:space="preserve">ISMS Owner / GRC Analyst</w:t>
            </w:r>
          </w:p>
        </w:tc>
        <w:tc>
          <w:tcPr>
            <w:tcW w:type="pct" w:w="33%"/>
            <w:tcMar>
              <w:top w:type="dxa" w:w="100"/>
              <w:left w:type="dxa" w:w="120"/>
              <w:bottom w:type="dxa" w:w="100"/>
              <w:right w:type="dxa" w:w="120"/>
            </w:tcMar>
          </w:tcPr>
          <w:p>
            <w:r>
              <w:rPr>
                <w:sz w:val="20"/>
                <w:szCs w:val="20"/>
              </w:rPr>
              <w:t xml:space="preserve"/>
            </w:r>
          </w:p>
        </w:tc>
        <w:tc>
          <w:tcPr>
            <w:tcW w:type="pct" w:w="33%"/>
            <w:tcMar>
              <w:top w:type="dxa" w:w="100"/>
              <w:left w:type="dxa" w:w="120"/>
              <w:bottom w:type="dxa" w:w="100"/>
              <w:right w:type="dxa" w:w="120"/>
            </w:tcMar>
          </w:tcPr>
          <w:p>
            <w:r>
              <w:rPr>
                <w:sz w:val="20"/>
                <w:szCs w:val="20"/>
              </w:rPr>
              <w:t xml:space="preserve"/>
            </w:r>
          </w:p>
        </w:tc>
      </w:tr>
      <w:tr>
        <w:tc>
          <w:tcPr>
            <w:tcW w:type="pct" w:w="34%"/>
            <w:shd w:fill="F7F7F5" w:val="clear"/>
            <w:tcMar>
              <w:top w:type="dxa" w:w="100"/>
              <w:left w:type="dxa" w:w="120"/>
              <w:bottom w:type="dxa" w:w="100"/>
              <w:right w:type="dxa" w:w="120"/>
            </w:tcMar>
          </w:tcPr>
          <w:p>
            <w:r>
              <w:rPr>
                <w:sz w:val="20"/>
                <w:szCs w:val="20"/>
              </w:rPr>
              <w:t xml:space="preserve">Management representative</w:t>
            </w:r>
          </w:p>
        </w:tc>
        <w:tc>
          <w:tcPr>
            <w:tcW w:type="pct" w:w="33%"/>
            <w:shd w:fill="F7F7F5" w:val="clear"/>
            <w:tcMar>
              <w:top w:type="dxa" w:w="100"/>
              <w:left w:type="dxa" w:w="120"/>
              <w:bottom w:type="dxa" w:w="100"/>
              <w:right w:type="dxa" w:w="120"/>
            </w:tcMar>
          </w:tcPr>
          <w:p>
            <w:r>
              <w:rPr>
                <w:sz w:val="20"/>
                <w:szCs w:val="20"/>
              </w:rPr>
              <w:t xml:space="preserve"/>
            </w:r>
          </w:p>
        </w:tc>
        <w:tc>
          <w:tcPr>
            <w:tcW w:type="pct" w:w="33%"/>
            <w:shd w:fill="F7F7F5" w:val="clear"/>
            <w:tcMar>
              <w:top w:type="dxa" w:w="100"/>
              <w:left w:type="dxa" w:w="120"/>
              <w:bottom w:type="dxa" w:w="100"/>
              <w:right w:type="dxa" w:w="120"/>
            </w:tcMar>
          </w:tcPr>
          <w:p>
            <w:r>
              <w:rPr>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0"/>
        <w:sz w:val="16"/>
        <w:szCs w:val="16"/>
      </w:rPr>
      <w:t xml:space="preserve">Page </w:t>
    </w:r>
    <w:r>
      <w:rPr>
        <w:color w:val="888880"/>
        <w:sz w:val="16"/>
        <w:szCs w:val="16"/>
      </w:rPr>
      <w:fldChar w:fldCharType="begin"/>
      <w:instrText xml:space="preserve">PAGE</w:instrText>
      <w:fldChar w:fldCharType="separate"/>
      <w:fldChar w:fldCharType="end"/>
    </w:r>
    <w:r>
      <w:rPr>
        <w:color w:val="888880"/>
        <w:sz w:val="16"/>
        <w:szCs w:val="16"/>
      </w:rPr>
      <w:t xml:space="preserve"> of </w:t>
    </w:r>
    <w:r>
      <w:rPr>
        <w:color w:val="8888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0"/>
        <w:sz w:val="16"/>
        <w:szCs w:val="16"/>
      </w:rPr>
      <w:t xml:space="preserve">NRW Logistics GmbH — ISMS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pBdr>
      <w:spacing w:after="160" w:before="320"/>
    </w:pPr>
    <w:rPr>
      <w:rFonts w:ascii="Calibri" w:cs="Calibri" w:eastAsia="Calibri" w:hAnsi="Calibri"/>
      <w:b/>
      <w:bCs/>
      <w:color w:val="085041"/>
      <w:sz w:val="30"/>
      <w:szCs w:val="30"/>
    </w:rPr>
  </w:style>
  <w:style w:type="paragraph" w:styleId="Heading2">
    <w:name w:val="Heading 2"/>
    <w:basedOn w:val="Normal"/>
    <w:next w:val="Normal"/>
    <w:qFormat/>
    <w:pPr>
      <w:spacing w:after="120" w:before="240"/>
    </w:pPr>
    <w:rPr>
      <w:rFonts w:ascii="Calibri" w:cs="Calibri" w:eastAsia="Calibri" w:hAnsi="Calibri"/>
      <w:b/>
      <w:bCs/>
      <w:color w:val="0850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e899e0a6873ebbb3e371cb38cab48e0fd82f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2026-08-16T22:48:41.697Z</dcterms:created>
  <dcterms:modified xsi:type="dcterms:W3CDTF">2026-08-16T22:48:41.708Z</dcterms:modified>
</cp:coreProperties>
</file>

<file path=docProps/custom.xml><?xml version="1.0" encoding="utf-8"?>
<Properties xmlns="http://schemas.openxmlformats.org/officeDocument/2006/custom-properties" xmlns:vt="http://schemas.openxmlformats.org/officeDocument/2006/docPropsVTypes"/>
</file>