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85041"/>
          <w:sz w:val="44"/>
          <w:szCs w:val="44"/>
        </w:rPr>
        <w:t xml:space="preserve">Acceptable Use Policy</w:t>
      </w:r>
    </w:p>
    <w:p>
      <w:pPr>
        <w:spacing w:after="400"/>
      </w:pPr>
      <w:r>
        <w:rPr>
          <w:color w:val="5F5E5A"/>
          <w:sz w:val="24"/>
          <w:szCs w:val="24"/>
        </w:rPr>
        <w:t xml:space="preserve">ISO/IEC 27001:2022 — Supporting ISMS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NRW Logistics GmbH (fictional entity — portfolio project)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for management approval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cycle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Annually, or following a significant incident or regulatory change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policy defines acceptable and prohibited use of NRW Logistics GmbH's IT assets, email systems, and internet access by employees and contractors.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60"/>
      </w:pPr>
      <w:r>
        <w:t xml:space="preserve">This policy applies to all employees and contractors using company-issued laptops, the HQ network, email systems, and any device connecting to in-scope ISMS systems.</w:t>
      </w:r>
    </w:p>
    <w:p>
      <w:pPr>
        <w:pStyle w:val="Heading1"/>
        <w:spacing w:after="160" w:before="320"/>
      </w:pPr>
      <w:r>
        <w:t xml:space="preserve">3. Policy Statements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Company IT assets are provided for legitimate business purposes; limited personal use is permitted where it does not interfere with duties or introduce security risk.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Employees must not share login credentials, disable security software, or attempt to bypass security controls under any circumstance.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Company laptops must have full-disk encryption and endpoint protection enabled at all times before being used to access company systems.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Employees must report suspected phishing emails or suspicious activity to the IT Manager immediately upon discovery.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Confidential or customer data must not be transmitted via unauthorized personal email, personal cloud storage, or unapproved messaging applications.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of company systems for illegal activity, harassment, or unauthorized disclosure of company or customer information is strictly prohibited.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of removable media (USB drives) is restricted to company-issued, encrypted devices only.</w:t>
      </w:r>
    </w:p>
    <w:p>
      <w:pPr>
        <w:spacing w:after="200"/>
      </w:pPr>
    </w:p>
    <w:tbl>
      <w:tblPr>
        <w:tblW w:type="pct" w:w="100%"/>
        <w:tblBorders>
          <w:top w:val="single" w:color="0F6E56" w:sz="4"/>
          <w:left w:val="single" w:color="0F6E56" w:sz="12"/>
          <w:bottom w:val="single" w:color="0F6E56" w:sz="4"/>
          <w:right w:val="single" w:color="0F6E5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Why this matters: Technical controls only work if people know what's expected of them</w:t>
            </w:r>
          </w:p>
          <w:p>
            <w:r>
              <w:rPr>
                <w:sz w:val="20"/>
                <w:szCs w:val="20"/>
              </w:rPr>
              <w:t xml:space="preserve">Several Annex A controls this policy supports (8.1 endpoint devices, 8.12 data leakage prevention) are technological in nature, but a technical control alone can't tell an employee not to email a customer list to their personal Gmail. This is the gap the Acceptable Use Policy closes — it's the People-side companion to the Technological controls in the SoA, and auditors specifically check that both exist together rather than relying on technology alone.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employees and contractors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Comply with this policy; report violations or suspected phishing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compliance, maintain endpoint protection and encryption tooling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disciplinary action for confirmed violations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Related Risks and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risk register entries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R-001, R-005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Annex A controls (SoA)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5.10, 6.3, 8.1, 8.12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Non-Compliance</w:t>
      </w:r>
    </w:p>
    <w:p>
      <w:pPr>
        <w:spacing w:after="160"/>
      </w:pPr>
      <w:r>
        <w:t xml:space="preserve">Violations of this policy may result in disciplinary action up to and including termination, and may be reported to relevant authorities where illegal activity is involved.</w:t>
      </w:r>
    </w:p>
    <w:p>
      <w:pPr>
        <w:pStyle w:val="Heading1"/>
        <w:spacing w:after="160" w:before="320"/>
      </w:pPr>
      <w:r>
        <w:t xml:space="preserve">7.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970"/>
        <w:gridCol w:w="2970"/>
      </w:tblGrid>
      <w:tr>
        <w:trPr>
          <w:tblHeader/>
        </w:trPr>
        <w:tc>
          <w:tcPr>
            <w:tcW w:type="pct" w:w="34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6"/>
        <w:szCs w:val="16"/>
      </w:rPr>
      <w:t xml:space="preserve">Page </w:t>
    </w:r>
    <w:r>
      <w:rPr>
        <w:color w:val="8888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0"/>
        <w:sz w:val="16"/>
        <w:szCs w:val="16"/>
      </w:rPr>
      <w:t xml:space="preserve"> of </w:t>
    </w:r>
    <w:r>
      <w:rPr>
        <w:color w:val="8888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6"/>
        <w:szCs w:val="16"/>
      </w:rPr>
      <w:t xml:space="preserve">NRW Logistics GmbH — Acceptable Use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/>
      </w:pBdr>
      <w:spacing w:after="160" w:before="320"/>
    </w:pPr>
    <w:rPr>
      <w:rFonts w:ascii="Calibri" w:cs="Calibri" w:eastAsia="Calibri" w:hAnsi="Calibri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2026-08-17T00:28:05.041Z</dcterms:created>
  <dcterms:modified xsi:type="dcterms:W3CDTF">2026-08-17T00:28:05.041Z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