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85041"/>
          <w:sz w:val="44"/>
          <w:szCs w:val="44"/>
        </w:rPr>
        <w:t xml:space="preserve">Access Control Policy</w:t>
      </w:r>
    </w:p>
    <w:p>
      <w:pPr>
        <w:spacing w:after="400"/>
      </w:pPr>
      <w:r>
        <w:rPr>
          <w:color w:val="5F5E5A"/>
          <w:sz w:val="24"/>
          <w:szCs w:val="24"/>
        </w:rPr>
        <w:t xml:space="preserve">ISO/IEC 27001:2022 — Supporting ISMS Policy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pct" w:w="30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70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owner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 Manager</w:t>
            </w:r>
          </w:p>
        </w:tc>
      </w:tr>
      <w:tr>
        <w:tc>
          <w:tcPr>
            <w:tcW w:type="pct" w:w="3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Organization</w:t>
            </w:r>
          </w:p>
        </w:tc>
        <w:tc>
          <w:tcPr>
            <w:tcW w:type="pct" w:w="7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NRW Logistics GmbH (fictional entity — portfolio project)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7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Draft for management approval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Classification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pct" w:w="3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cycle</w:t>
            </w:r>
          </w:p>
        </w:tc>
        <w:tc>
          <w:tcPr>
            <w:tcW w:type="pct" w:w="7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Annually, or following a significant incident or regulatory change</w:t>
            </w:r>
          </w:p>
        </w:tc>
      </w:tr>
    </w:tbl>
    <w:p>
      <w:pPr>
        <w:spacing w:after="300"/>
      </w:pPr>
    </w:p>
    <w:p>
      <w:pPr>
        <w:pStyle w:val="Heading1"/>
        <w:spacing w:after="160" w:before="320"/>
      </w:pPr>
      <w:r>
        <w:t xml:space="preserve">1. Purpose</w:t>
      </w:r>
    </w:p>
    <w:p>
      <w:pPr>
        <w:spacing w:after="160"/>
      </w:pPr>
      <w:r>
        <w:t xml:space="preserve">This policy defines how access to NRW Logistics GmbH's information systems is granted, reviewed, and revoked, to ensure only authorized individuals can access information appropriate to their role.</w:t>
      </w:r>
    </w:p>
    <w:p>
      <w:pPr>
        <w:pStyle w:val="Heading1"/>
        <w:spacing w:after="160" w:before="320"/>
      </w:pPr>
      <w:r>
        <w:t xml:space="preserve">2. Scope</w:t>
      </w:r>
    </w:p>
    <w:p>
      <w:pPr>
        <w:spacing w:after="160"/>
      </w:pPr>
      <w:r>
        <w:t xml:space="preserve">This policy applies to the HQ network, Warehouse Management System, cloud ERP, fleet telematics platform, and remote VPN access.</w:t>
      </w:r>
    </w:p>
    <w:p>
      <w:pPr>
        <w:pStyle w:val="Heading1"/>
        <w:spacing w:after="160" w:before="320"/>
      </w:pPr>
      <w:r>
        <w:t xml:space="preserve">3. Policy Statements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Access to information systems shall be granted based on the principle of least privilege and documented business need.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All user accounts shall be uniquely identifiable to an individual; shared or generic accounts are prohibited except where explicitly documented and approved by the IT Manager.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Multi-factor authentication (MFA) shall be enforced for all remote access (VPN) connections and all administrative/privileged accounts.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Access rights shall be reviewed at least quarterly by the relevant system or data owner, with results documented.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Access shall be revoked within 24 hours of an employee's termination, and updated within 5 business days of a role change.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Passwords shall meet a minimum of 14 characters with complexity requirements, and accounts shall lock after 5 consecutive failed login attempts.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Privileged (administrative) accounts shall be separate from standard user accounts and used solely for administrative tasks.</w:t>
      </w:r>
    </w:p>
    <w:p>
      <w:pPr>
        <w:spacing w:after="200"/>
      </w:pPr>
    </w:p>
    <w:tbl>
      <w:tblPr>
        <w:tblW w:type="pct" w:w="100%"/>
        <w:tblBorders>
          <w:top w:val="single" w:color="0F6E56" w:sz="4"/>
          <w:left w:val="single" w:color="0F6E56" w:sz="12"/>
          <w:bottom w:val="single" w:color="0F6E56" w:sz="4"/>
          <w:right w:val="single" w:color="0F6E5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EF3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85041"/>
                <w:sz w:val="20"/>
                <w:szCs w:val="20"/>
              </w:rPr>
              <w:t xml:space="preserve">Why this matters: Least privilege and MFA are the two highest-leverage controls in this project</w:t>
            </w:r>
          </w:p>
          <w:p>
            <w:r>
              <w:rPr>
                <w:sz w:val="20"/>
                <w:szCs w:val="20"/>
              </w:rPr>
              <w:t xml:space="preserve">Look back at the risk register: R-004 (ERP misconfiguration), R-006 (WMS insider misuse), R-010 (weak passwords), and R-011 (VPN without MFA) are four of the highest-impact risks identified, and every one of them is directly addressed by statements in this single policy. This is a good example of how a small number of well-implemented controls can treat a disproportionate share of an organization's risk — a point worth making explicitly in an interview.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4. Roles and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pct" w:w="30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70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 Manager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and enforce access control mechanisms; manage MFA and password policy configuration</w:t>
            </w:r>
          </w:p>
        </w:tc>
      </w:tr>
      <w:tr>
        <w:tc>
          <w:tcPr>
            <w:tcW w:type="pct" w:w="3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/ data owners</w:t>
            </w:r>
          </w:p>
        </w:tc>
        <w:tc>
          <w:tcPr>
            <w:tcW w:type="pct" w:w="7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 access requests and conduct quarterly access reviews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Management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Notify IT Manager promptly of employee joiners, leavers, and role changes</w:t>
            </w:r>
          </w:p>
        </w:tc>
      </w:tr>
      <w:tr>
        <w:tc>
          <w:tcPr>
            <w:tcW w:type="pct" w:w="3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Employees</w:t>
            </w:r>
          </w:p>
        </w:tc>
        <w:tc>
          <w:tcPr>
            <w:tcW w:type="pct" w:w="7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Protect credentials, never share login information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5. Related Risks and Controls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pct" w:w="30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Reference type</w:t>
            </w:r>
          </w:p>
        </w:tc>
        <w:tc>
          <w:tcPr>
            <w:tcW w:type="pct" w:w="70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IDs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Related risk register entries</w:t>
            </w:r>
          </w:p>
        </w:tc>
        <w:tc>
          <w:tcPr>
            <w:tcW w:type="pct" w:w="7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R-004, R-006, R-010, R-011</w:t>
            </w:r>
          </w:p>
        </w:tc>
      </w:tr>
      <w:tr>
        <w:tc>
          <w:tcPr>
            <w:tcW w:type="pct" w:w="3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Related Annex A controls (SoA)</w:t>
            </w:r>
          </w:p>
        </w:tc>
        <w:tc>
          <w:tcPr>
            <w:tcW w:type="pct" w:w="70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5.15, 5.16, 5.17, 5.18, 8.2, 8.3, 8.5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6. Non-Compliance</w:t>
      </w:r>
    </w:p>
    <w:p>
      <w:pPr>
        <w:spacing w:after="160"/>
      </w:pPr>
      <w:r>
        <w:t xml:space="preserve">Circumventing access controls, sharing credentials, or granting unauthorized access constitutes a policy violation and will be handled under the disciplinary process referenced in the Acceptable Use Policy.</w:t>
      </w:r>
    </w:p>
    <w:p>
      <w:pPr>
        <w:pStyle w:val="Heading1"/>
        <w:spacing w:after="160" w:before="320"/>
      </w:pPr>
      <w:r>
        <w:t xml:space="preserve">7. Approval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2970"/>
        <w:gridCol w:w="2970"/>
      </w:tblGrid>
      <w:tr>
        <w:trPr>
          <w:tblHeader/>
        </w:trPr>
        <w:tc>
          <w:tcPr>
            <w:tcW w:type="pct" w:w="34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33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pct" w:w="33%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pct" w:w="34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 Manager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4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Management representative</w:t>
            </w:r>
          </w:p>
        </w:tc>
        <w:tc>
          <w:tcPr>
            <w:tcW w:type="pct" w:w="33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33%"/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0"/>
        <w:sz w:val="16"/>
        <w:szCs w:val="16"/>
      </w:rPr>
      <w:t xml:space="preserve">Page </w:t>
    </w:r>
    <w:r>
      <w:rPr>
        <w:color w:val="8888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0"/>
        <w:sz w:val="16"/>
        <w:szCs w:val="16"/>
      </w:rPr>
      <w:t xml:space="preserve"> of </w:t>
    </w:r>
    <w:r>
      <w:rPr>
        <w:color w:val="8888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0"/>
        <w:sz w:val="16"/>
        <w:szCs w:val="16"/>
      </w:rPr>
      <w:t xml:space="preserve">NRW Logistics GmbH — Access Control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6E56" w:sz="6"/>
      </w:pBdr>
      <w:spacing w:after="160" w:before="320"/>
    </w:pPr>
    <w:rPr>
      <w:rFonts w:ascii="Calibri" w:cs="Calibri" w:eastAsia="Calibri" w:hAnsi="Calibri"/>
      <w:b/>
      <w:bCs/>
      <w:color w:val="08504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08504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2026-08-17T00:28:05.027Z</dcterms:created>
  <dcterms:modified xsi:type="dcterms:W3CDTF">2026-08-17T00:28:05.027Z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